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Normal"/>
        <w:ind w:firstLine="709"/>
        <w:jc w:val="center"/>
        <w:rPr>
          <w:rFonts w:ascii="Times New Roman" w:hAnsi="Times New Roman" w:cs="Times New Roman"/>
          <w:sz w:val="24"/>
          <w:szCs w:val="24"/>
        </w:rPr>
      </w:pPr>
      <w:r>
        <w:rPr>
          <w:rFonts w:cs="Times New Roman" w:ascii="Times New Roman" w:hAnsi="Times New Roman"/>
          <w:sz w:val="24"/>
          <w:szCs w:val="24"/>
        </w:rPr>
      </w:r>
      <w:bookmarkStart w:id="0" w:name="Par1"/>
      <w:bookmarkStart w:id="1" w:name="Par1"/>
      <w:bookmarkEnd w:id="1"/>
    </w:p>
    <w:p>
      <w:pPr>
        <w:pStyle w:val="Normal"/>
        <w:ind w:firstLine="709"/>
        <w:jc w:val="center"/>
        <w:rPr/>
      </w:pPr>
      <w:r>
        <w:rPr>
          <w:rFonts w:cs="Times New Roman" w:ascii="Times New Roman" w:hAnsi="Times New Roman"/>
          <w:sz w:val="24"/>
          <w:szCs w:val="24"/>
        </w:rPr>
        <w:t>РОССИЙСКАЯ ФЕДЕРАЦИЯ</w:t>
      </w:r>
    </w:p>
    <w:p>
      <w:pPr>
        <w:pStyle w:val="Normal"/>
        <w:ind w:firstLine="709"/>
        <w:jc w:val="center"/>
        <w:rPr/>
      </w:pPr>
      <w:r>
        <w:rPr>
          <w:rFonts w:cs="Times New Roman" w:ascii="Times New Roman" w:hAnsi="Times New Roman"/>
          <w:sz w:val="24"/>
          <w:szCs w:val="24"/>
        </w:rPr>
        <w:t>КРАСНОЯРСКИЙ КРАЙ КАЗАЧИНСКИЙ РАЙОН</w:t>
      </w:r>
    </w:p>
    <w:p>
      <w:pPr>
        <w:pStyle w:val="Normal"/>
        <w:ind w:firstLine="709"/>
        <w:jc w:val="center"/>
        <w:rPr/>
      </w:pPr>
      <w:r>
        <w:rPr>
          <w:rFonts w:cs="Times New Roman" w:ascii="Times New Roman" w:hAnsi="Times New Roman"/>
          <w:sz w:val="24"/>
          <w:szCs w:val="24"/>
        </w:rPr>
        <w:t>АДМИНИСТРАЦИЯ ДУДОВСКОГО СЕЛЬСОВЕТА</w:t>
      </w:r>
    </w:p>
    <w:p>
      <w:pPr>
        <w:pStyle w:val="Normal"/>
        <w:ind w:firstLine="709"/>
        <w:jc w:val="center"/>
        <w:rPr>
          <w:rFonts w:ascii="Times New Roman" w:hAnsi="Times New Roman" w:cs="Times New Roman"/>
          <w:sz w:val="24"/>
          <w:szCs w:val="24"/>
        </w:rPr>
      </w:pPr>
      <w:r>
        <w:rPr>
          <w:rFonts w:cs="Times New Roman" w:ascii="Times New Roman" w:hAnsi="Times New Roman"/>
          <w:sz w:val="24"/>
          <w:szCs w:val="24"/>
        </w:rPr>
      </w:r>
    </w:p>
    <w:p>
      <w:pPr>
        <w:pStyle w:val="Normal"/>
        <w:ind w:firstLine="709"/>
        <w:jc w:val="center"/>
        <w:rPr>
          <w:rFonts w:ascii="Times New Roman" w:hAnsi="Times New Roman" w:cs="Times New Roman"/>
          <w:sz w:val="24"/>
          <w:szCs w:val="24"/>
        </w:rPr>
      </w:pPr>
      <w:r>
        <w:rPr>
          <w:rFonts w:cs="Times New Roman" w:ascii="Times New Roman" w:hAnsi="Times New Roman"/>
          <w:sz w:val="24"/>
          <w:szCs w:val="24"/>
        </w:rPr>
        <w:t xml:space="preserve">ПОСТАНОВЛЕНИЕ </w:t>
      </w:r>
      <w:r>
        <w:rPr>
          <w:rFonts w:cs="Times New Roman" w:ascii="Times New Roman" w:hAnsi="Times New Roman"/>
          <w:sz w:val="24"/>
          <w:szCs w:val="24"/>
        </w:rPr>
        <w:t>(проект)</w:t>
      </w:r>
    </w:p>
    <w:p>
      <w:pPr>
        <w:pStyle w:val="Normal"/>
        <w:ind w:firstLine="709"/>
        <w:jc w:val="left"/>
        <w:rPr>
          <w:rFonts w:ascii="Times New Roman" w:hAnsi="Times New Roman" w:cs="Times New Roman"/>
          <w:sz w:val="24"/>
          <w:szCs w:val="24"/>
        </w:rPr>
      </w:pPr>
      <w:r>
        <w:rPr>
          <w:rFonts w:cs="Times New Roman" w:ascii="Times New Roman" w:hAnsi="Times New Roman"/>
          <w:sz w:val="24"/>
          <w:szCs w:val="24"/>
        </w:rPr>
        <w:t xml:space="preserve">г                                  с. Дудовка                                     № </w:t>
      </w:r>
    </w:p>
    <w:p>
      <w:pPr>
        <w:pStyle w:val="Normal"/>
        <w:ind w:firstLine="709"/>
        <w:jc w:val="center"/>
        <w:rPr>
          <w:rFonts w:ascii="Times New Roman" w:hAnsi="Times New Roman" w:cs="Times New Roman"/>
          <w:sz w:val="24"/>
          <w:szCs w:val="24"/>
        </w:rPr>
      </w:pPr>
      <w:r>
        <w:rPr>
          <w:rFonts w:cs="Times New Roman" w:ascii="Times New Roman" w:hAnsi="Times New Roman"/>
          <w:sz w:val="24"/>
          <w:szCs w:val="24"/>
        </w:rPr>
      </w:r>
    </w:p>
    <w:p>
      <w:pPr>
        <w:pStyle w:val="Normal"/>
        <w:ind w:firstLine="709"/>
        <w:jc w:val="center"/>
        <w:rPr>
          <w:rFonts w:ascii="Times New Roman" w:hAnsi="Times New Roman" w:cs="Times New Roman"/>
          <w:sz w:val="24"/>
          <w:szCs w:val="24"/>
        </w:rPr>
      </w:pPr>
      <w:r>
        <w:rPr>
          <w:rFonts w:cs="Times New Roman" w:ascii="Times New Roman" w:hAnsi="Times New Roman"/>
          <w:sz w:val="24"/>
          <w:szCs w:val="24"/>
        </w:rPr>
        <w:t>О МЕРАХ ПО РЕАЛИЗАЦИИ РЕШЕНИЯ ДУДОВСКОГО СЕЛЬСКОГО СОВЕТА ДЕПУТАТОВ ОТ 28.12.2023 № 16-35 «О БЮДЖЕТЕ ДУДОВСКОГО СЕЛЬСОВЕТА НА 2024 ГОД И ПЛАНОВЫЙ ПЕРИОД 2025 - 2026 ГОДОВ»</w:t>
      </w:r>
    </w:p>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Normal"/>
        <w:ind w:firstLine="709"/>
        <w:rPr>
          <w:rFonts w:ascii="Times New Roman" w:hAnsi="Times New Roman" w:cs="Times New Roman"/>
          <w:sz w:val="24"/>
          <w:szCs w:val="24"/>
        </w:rPr>
      </w:pPr>
      <w:r>
        <w:rPr>
          <w:rFonts w:cs="Times New Roman" w:ascii="Times New Roman" w:hAnsi="Times New Roman"/>
          <w:sz w:val="24"/>
          <w:szCs w:val="24"/>
        </w:rPr>
        <w:t xml:space="preserve">В соответствии со статьей 47 Устава Дудовского сельсовета, решением Дудовского сельского Совета депутатов от 28.12.2023 № 16-35 «О бюджете Дудовского сельсовета на 2024 год и плановый период 2025 - 2026 годов» </w:t>
      </w:r>
    </w:p>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Normal"/>
        <w:ind w:firstLine="709"/>
        <w:jc w:val="center"/>
        <w:rPr>
          <w:rFonts w:ascii="Times New Roman" w:hAnsi="Times New Roman" w:cs="Times New Roman"/>
          <w:sz w:val="24"/>
          <w:szCs w:val="24"/>
        </w:rPr>
      </w:pPr>
      <w:r>
        <w:rPr>
          <w:rFonts w:cs="Times New Roman" w:ascii="Times New Roman" w:hAnsi="Times New Roman"/>
          <w:sz w:val="24"/>
          <w:szCs w:val="24"/>
        </w:rPr>
        <w:t>ПОСТАНОВЛЯЮ:</w:t>
      </w:r>
    </w:p>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1"/>
        </w:numPr>
        <w:ind w:firstLine="709" w:left="0"/>
        <w:rPr>
          <w:rFonts w:ascii="Times New Roman" w:hAnsi="Times New Roman" w:cs="Times New Roman"/>
          <w:sz w:val="24"/>
          <w:szCs w:val="24"/>
        </w:rPr>
      </w:pPr>
      <w:r>
        <w:rPr>
          <w:rFonts w:cs="Times New Roman" w:ascii="Times New Roman" w:hAnsi="Times New Roman"/>
          <w:sz w:val="24"/>
          <w:szCs w:val="24"/>
        </w:rPr>
        <w:t xml:space="preserve">Специалистам администрации Дудовского сельсовета, ответственным за формирование доходов бюджета поселения: </w:t>
      </w:r>
    </w:p>
    <w:p>
      <w:pPr>
        <w:pStyle w:val="Normal"/>
        <w:ind w:firstLine="709"/>
        <w:rPr>
          <w:rFonts w:ascii="Times New Roman" w:hAnsi="Times New Roman" w:cs="Times New Roman"/>
          <w:sz w:val="24"/>
          <w:szCs w:val="24"/>
        </w:rPr>
      </w:pPr>
      <w:r>
        <w:rPr>
          <w:rFonts w:cs="Times New Roman" w:ascii="Times New Roman" w:hAnsi="Times New Roman"/>
          <w:sz w:val="24"/>
          <w:szCs w:val="24"/>
        </w:rPr>
        <w:t>а) обеспечить поступление доходов согласно утвержденным плановым назначениям по администрируемым доходам бюджета поселения;</w:t>
      </w:r>
    </w:p>
    <w:p>
      <w:pPr>
        <w:pStyle w:val="Normal"/>
        <w:ind w:firstLine="709"/>
        <w:rPr>
          <w:rFonts w:ascii="Times New Roman" w:hAnsi="Times New Roman" w:cs="Times New Roman"/>
          <w:sz w:val="24"/>
          <w:szCs w:val="24"/>
        </w:rPr>
      </w:pPr>
      <w:r>
        <w:rPr>
          <w:rFonts w:cs="Times New Roman" w:ascii="Times New Roman" w:hAnsi="Times New Roman"/>
          <w:sz w:val="24"/>
          <w:szCs w:val="24"/>
        </w:rPr>
        <w:t>б) принять меры по повышению качества управления дебиторской задолженностью по администрируемым платежам в бюджет поселения и снижению показателей просроченной дебиторской задолженности;</w:t>
      </w:r>
    </w:p>
    <w:p>
      <w:pPr>
        <w:pStyle w:val="Normal"/>
        <w:ind w:firstLine="709"/>
        <w:rPr>
          <w:rFonts w:ascii="Times New Roman" w:hAnsi="Times New Roman" w:cs="Times New Roman"/>
          <w:sz w:val="24"/>
          <w:szCs w:val="24"/>
        </w:rPr>
      </w:pPr>
      <w:r>
        <w:rPr>
          <w:rFonts w:cs="Times New Roman" w:ascii="Times New Roman" w:hAnsi="Times New Roman"/>
          <w:sz w:val="24"/>
          <w:szCs w:val="24"/>
        </w:rPr>
        <w:t>в) осуществлять постоянную работу по уточнению платежей, относимых Управлением Федерального казначейства по Красноярскому краю на невыясненные поступления, проводить разъяснительную работу с плательщиками налогов, сборов и иных платежей в части правильности оформления платежных документов на перечисление в бюджет поселения соответствующих платежей.</w:t>
      </w:r>
    </w:p>
    <w:p>
      <w:pPr>
        <w:pStyle w:val="ListParagraph"/>
        <w:numPr>
          <w:ilvl w:val="0"/>
          <w:numId w:val="1"/>
        </w:numPr>
        <w:ind w:firstLine="709" w:left="0"/>
        <w:rPr>
          <w:rFonts w:ascii="Times New Roman" w:hAnsi="Times New Roman" w:cs="Times New Roman"/>
          <w:sz w:val="24"/>
          <w:szCs w:val="24"/>
        </w:rPr>
      </w:pPr>
      <w:r>
        <w:rPr>
          <w:rFonts w:cs="Times New Roman" w:ascii="Times New Roman" w:hAnsi="Times New Roman"/>
          <w:sz w:val="24"/>
          <w:szCs w:val="24"/>
        </w:rPr>
        <w:t>Установить, что погашение кредиторской задолженности, сложившейся по принятым в предыдущие годы, фактически произведенным, но не оплаченным по состоянию на 01.01.2024 обязательствам, осуществляется за счет бюджетных ассигнований, утвержденных на 2024 год в первоочередном порядке.</w:t>
      </w:r>
    </w:p>
    <w:p>
      <w:pPr>
        <w:pStyle w:val="ListParagraph"/>
        <w:numPr>
          <w:ilvl w:val="0"/>
          <w:numId w:val="1"/>
        </w:numPr>
        <w:ind w:firstLine="709" w:left="0"/>
        <w:rPr>
          <w:rFonts w:ascii="Times New Roman" w:hAnsi="Times New Roman" w:cs="Times New Roman"/>
          <w:sz w:val="24"/>
          <w:szCs w:val="24"/>
        </w:rPr>
      </w:pPr>
      <w:r>
        <w:rPr>
          <w:rFonts w:cs="Times New Roman" w:ascii="Times New Roman" w:hAnsi="Times New Roman"/>
          <w:sz w:val="24"/>
          <w:szCs w:val="24"/>
        </w:rPr>
        <w:t>Установить, что получатели средств бюджета поселения,</w:t>
      </w:r>
      <w:r>
        <w:rPr>
          <w:rFonts w:eastAsia="Times New Roman" w:cs="Times New Roman" w:ascii="Times New Roman" w:hAnsi="Times New Roman"/>
          <w:sz w:val="28"/>
          <w:szCs w:val="28"/>
          <w:lang w:eastAsia="ru-RU"/>
        </w:rPr>
        <w:t xml:space="preserve"> </w:t>
      </w:r>
      <w:r>
        <w:rPr>
          <w:rFonts w:cs="Times New Roman" w:ascii="Times New Roman" w:hAnsi="Times New Roman"/>
          <w:sz w:val="24"/>
          <w:szCs w:val="24"/>
        </w:rPr>
        <w:t>а также муниципальные автономные и бюджетные учреждения при заключении подлежащих оплате за счет средств бюджета поселения договоров (контрактов) на поставку товаров, выполнение работ, оказание услуг вправе предусматривать условия частичной или полной предоплаты в следующих случаях:</w:t>
      </w:r>
    </w:p>
    <w:p>
      <w:pPr>
        <w:pStyle w:val="Normal"/>
        <w:ind w:firstLine="709"/>
        <w:rPr>
          <w:rFonts w:ascii="Times New Roman" w:hAnsi="Times New Roman" w:cs="Times New Roman"/>
          <w:sz w:val="24"/>
          <w:szCs w:val="24"/>
        </w:rPr>
      </w:pPr>
      <w:r>
        <w:rPr>
          <w:rFonts w:cs="Times New Roman" w:ascii="Times New Roman" w:hAnsi="Times New Roman"/>
          <w:sz w:val="24"/>
          <w:szCs w:val="24"/>
        </w:rPr>
        <w:t>а) в размере 100 процентов от суммы договора (муниципального контракта) на поставку товаров, выполнение работ, оказание услуг, но не более лимитов бюджетных обязательств, подлежащих исполнению за счет средств бюджета поселения в соответствующем финансовом году, в соответствии с перечнем товаров, работ и услуг, авансовые платежи по которым могут предусматриваться в размере 100 процентов от суммы договора (муниципального контракта), согласно приложению № 1;</w:t>
      </w:r>
    </w:p>
    <w:p>
      <w:pPr>
        <w:pStyle w:val="Normal"/>
        <w:ind w:firstLine="709"/>
        <w:rPr>
          <w:rFonts w:ascii="Times New Roman" w:hAnsi="Times New Roman" w:cs="Times New Roman"/>
          <w:sz w:val="24"/>
          <w:szCs w:val="24"/>
        </w:rPr>
      </w:pPr>
      <w:r>
        <w:rPr>
          <w:rFonts w:cs="Times New Roman" w:ascii="Times New Roman" w:hAnsi="Times New Roman"/>
          <w:sz w:val="24"/>
          <w:szCs w:val="24"/>
        </w:rPr>
        <w:t>б) в размере до 50 процентов от суммы договора (контракта) на выполнение работ по строительству, реконструкции, инженерным изысканиям, подготовке проектной документации по объектам капитального строительства, но не более лимитов бюджетных обязательств, подлежащих исполнению за счет средств бюджета поселения в соответствующем финансовом году;</w:t>
      </w:r>
    </w:p>
    <w:p>
      <w:pPr>
        <w:pStyle w:val="Normal"/>
        <w:ind w:firstLine="709"/>
        <w:rPr>
          <w:rFonts w:ascii="Times New Roman" w:hAnsi="Times New Roman" w:cs="Times New Roman"/>
          <w:sz w:val="24"/>
          <w:szCs w:val="24"/>
        </w:rPr>
      </w:pPr>
      <w:r>
        <w:rPr>
          <w:rFonts w:cs="Times New Roman" w:ascii="Times New Roman" w:hAnsi="Times New Roman"/>
          <w:sz w:val="24"/>
          <w:szCs w:val="24"/>
        </w:rPr>
        <w:t>в) в размере до 30 процентов от суммы договора (муниципального контракта), но не более лимитов бюджетных обязательств, подлежащих исполнению за счет средств бюджета поселения в соответствующем финансовом году, - по остальным договорам (муниципальным контрактам), если иное не предусмотрено законодательством Российской Федерации.</w:t>
      </w:r>
    </w:p>
    <w:p>
      <w:pPr>
        <w:pStyle w:val="ListParagraph"/>
        <w:numPr>
          <w:ilvl w:val="0"/>
          <w:numId w:val="1"/>
        </w:numPr>
        <w:ind w:firstLine="709" w:left="0"/>
        <w:rPr>
          <w:rFonts w:ascii="Times New Roman" w:hAnsi="Times New Roman" w:cs="Times New Roman"/>
          <w:sz w:val="24"/>
          <w:szCs w:val="24"/>
        </w:rPr>
      </w:pPr>
      <w:r>
        <w:rPr>
          <w:rFonts w:cs="Times New Roman" w:ascii="Times New Roman" w:hAnsi="Times New Roman"/>
          <w:sz w:val="24"/>
          <w:szCs w:val="24"/>
        </w:rPr>
        <w:t>Поручить главному бухгалтеру Греб Ирине Фридриховне:</w:t>
      </w:r>
    </w:p>
    <w:p>
      <w:pPr>
        <w:pStyle w:val="Normal"/>
        <w:ind w:firstLine="709"/>
        <w:rPr>
          <w:rFonts w:ascii="Times New Roman" w:hAnsi="Times New Roman" w:cs="Times New Roman"/>
          <w:sz w:val="24"/>
          <w:szCs w:val="24"/>
        </w:rPr>
      </w:pPr>
      <w:r>
        <w:rPr>
          <w:rFonts w:cs="Times New Roman" w:ascii="Times New Roman" w:hAnsi="Times New Roman"/>
          <w:sz w:val="24"/>
          <w:szCs w:val="24"/>
        </w:rPr>
        <w:t>а) ежеквартально до 10-го числа месяца, следующего за отчетным кварталом, представлять в финансовое управление администрации Казачинского района информацию о реализации плана мероприятий по росту доходов, оптимизации расходов и совершенствованию межбюджетных отношений и долговой политики Дудовского сельсовета;</w:t>
      </w:r>
    </w:p>
    <w:p>
      <w:pPr>
        <w:pStyle w:val="Normal"/>
        <w:ind w:firstLine="709"/>
        <w:rPr>
          <w:rFonts w:ascii="Times New Roman" w:hAnsi="Times New Roman" w:cs="Times New Roman"/>
          <w:sz w:val="24"/>
          <w:szCs w:val="24"/>
        </w:rPr>
      </w:pPr>
      <w:r>
        <w:rPr>
          <w:rFonts w:cs="Times New Roman" w:ascii="Times New Roman" w:hAnsi="Times New Roman"/>
          <w:sz w:val="24"/>
          <w:szCs w:val="24"/>
        </w:rPr>
        <w:t>б) обеспечить использование средств бюджета поселения, предоставленных в текущем финансовом году, в соответствии с кассовым планом бюджета поселения;</w:t>
      </w:r>
    </w:p>
    <w:p>
      <w:pPr>
        <w:pStyle w:val="Normal"/>
        <w:ind w:firstLine="709"/>
        <w:rPr>
          <w:rFonts w:ascii="Times New Roman" w:hAnsi="Times New Roman" w:cs="Times New Roman"/>
          <w:sz w:val="24"/>
          <w:szCs w:val="24"/>
        </w:rPr>
      </w:pPr>
      <w:r>
        <w:rPr>
          <w:rFonts w:cs="Times New Roman" w:ascii="Times New Roman" w:hAnsi="Times New Roman"/>
          <w:sz w:val="24"/>
          <w:szCs w:val="24"/>
        </w:rPr>
        <w:t>в) обеспечить при прогнозируемом снижении объема поступлений доходов бюджета поселения в первоочередном порядке выплату заработной платы работникам учреждений бюджетной сферы, оплату коммунальных услуг, исполнение публичных нормативных обязательств, уплату налогов;</w:t>
      </w:r>
    </w:p>
    <w:p>
      <w:pPr>
        <w:pStyle w:val="Normal"/>
        <w:ind w:firstLine="709"/>
        <w:rPr>
          <w:rFonts w:ascii="Times New Roman" w:hAnsi="Times New Roman" w:cs="Times New Roman"/>
          <w:sz w:val="24"/>
          <w:szCs w:val="24"/>
        </w:rPr>
      </w:pPr>
      <w:r>
        <w:rPr>
          <w:rFonts w:cs="Times New Roman" w:ascii="Times New Roman" w:hAnsi="Times New Roman"/>
          <w:sz w:val="24"/>
          <w:szCs w:val="24"/>
        </w:rPr>
        <w:t>г) не допускать образования просроченной кредиторской и дебиторской задолженности по средствам бюджета поселения;</w:t>
      </w:r>
    </w:p>
    <w:p>
      <w:pPr>
        <w:pStyle w:val="Normal"/>
        <w:ind w:firstLine="709"/>
        <w:rPr>
          <w:rFonts w:ascii="Times New Roman" w:hAnsi="Times New Roman" w:cs="Times New Roman"/>
          <w:sz w:val="24"/>
          <w:szCs w:val="24"/>
        </w:rPr>
      </w:pPr>
      <w:r>
        <w:rPr>
          <w:rFonts w:cs="Times New Roman" w:ascii="Times New Roman" w:hAnsi="Times New Roman"/>
          <w:sz w:val="24"/>
          <w:szCs w:val="24"/>
        </w:rPr>
        <w:t>д)</w:t>
      </w:r>
      <w:r>
        <w:rPr/>
        <w:t xml:space="preserve"> </w:t>
      </w:r>
      <w:r>
        <w:rPr>
          <w:rFonts w:cs="Times New Roman" w:ascii="Times New Roman" w:hAnsi="Times New Roman"/>
          <w:sz w:val="24"/>
          <w:szCs w:val="24"/>
        </w:rPr>
        <w:t>ежемесячно, в срок не позднее 3 числа месяца, следующего за отчетным месяцем, представлять в финансовое управление администрации Казачинского района сведения о состоянии кредиторской задолженности на отчетную дату по форме, установленной финансовым управлением администрации Казачинского района;</w:t>
      </w:r>
    </w:p>
    <w:p>
      <w:pPr>
        <w:pStyle w:val="Normal"/>
        <w:ind w:firstLine="709"/>
        <w:rPr>
          <w:rFonts w:ascii="Times New Roman" w:hAnsi="Times New Roman" w:cs="Times New Roman"/>
          <w:sz w:val="24"/>
          <w:szCs w:val="24"/>
        </w:rPr>
      </w:pPr>
      <w:r>
        <w:rPr>
          <w:rFonts w:cs="Times New Roman" w:ascii="Times New Roman" w:hAnsi="Times New Roman"/>
          <w:sz w:val="24"/>
          <w:szCs w:val="24"/>
        </w:rPr>
        <w:t>е) проводить работу по минимизации образования остатков средств бюджета поселения на лицевых счетах главных распорядителей и получателей средств бюджета поселения;</w:t>
      </w:r>
    </w:p>
    <w:p>
      <w:pPr>
        <w:pStyle w:val="Normal"/>
        <w:ind w:firstLine="709"/>
        <w:rPr>
          <w:rFonts w:ascii="Times New Roman" w:hAnsi="Times New Roman" w:cs="Times New Roman"/>
          <w:sz w:val="24"/>
          <w:szCs w:val="24"/>
        </w:rPr>
      </w:pPr>
      <w:r>
        <w:rPr>
          <w:rFonts w:cs="Times New Roman" w:ascii="Times New Roman" w:hAnsi="Times New Roman"/>
          <w:sz w:val="24"/>
          <w:szCs w:val="24"/>
        </w:rPr>
        <w:t>ж) не допускать принятия новых расходных обязательств, не обеспеченных финансовыми ресурсами, и увеличения объема действующих расходных обязательств.</w:t>
      </w:r>
    </w:p>
    <w:p>
      <w:pPr>
        <w:pStyle w:val="ListParagraph"/>
        <w:numPr>
          <w:ilvl w:val="0"/>
          <w:numId w:val="1"/>
        </w:numPr>
        <w:ind w:firstLine="709" w:left="0"/>
        <w:rPr>
          <w:rFonts w:ascii="Times New Roman" w:hAnsi="Times New Roman" w:cs="Times New Roman"/>
          <w:sz w:val="24"/>
          <w:szCs w:val="24"/>
        </w:rPr>
      </w:pPr>
      <w:r>
        <w:rPr>
          <w:rFonts w:cs="Times New Roman" w:ascii="Times New Roman" w:hAnsi="Times New Roman"/>
          <w:sz w:val="24"/>
          <w:szCs w:val="24"/>
        </w:rPr>
        <w:t>В целях обеспечения выполнения Соглашения о мерах по социально-экономическому развитию и оздоровлению муниципальных финансов Казачинского района, заключенного с Финансовым управлением администрации Казачинского района главному бухгалтеру Греб Ирине Фридриховне обеспечить:</w:t>
      </w:r>
    </w:p>
    <w:p>
      <w:pPr>
        <w:pStyle w:val="Normal"/>
        <w:ind w:firstLine="709"/>
        <w:rPr>
          <w:rFonts w:ascii="Times New Roman" w:hAnsi="Times New Roman" w:cs="Times New Roman"/>
          <w:sz w:val="24"/>
          <w:szCs w:val="24"/>
        </w:rPr>
      </w:pPr>
      <w:r>
        <w:rPr>
          <w:rFonts w:cs="Times New Roman" w:ascii="Times New Roman" w:hAnsi="Times New Roman"/>
          <w:sz w:val="24"/>
          <w:szCs w:val="24"/>
        </w:rPr>
        <w:t>а) не превышение предельных размеров оплаты труда депутатов, выборных должностных лиц местного самоуправления, осуществляющих свои полномочия на постоянной основе, лиц, замещающих иные муниципальные должности, установленные постановлением Совета администрации Красноярского края от 29.12.2007 № 512-п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и муниципальных служащих»;</w:t>
      </w:r>
    </w:p>
    <w:p>
      <w:pPr>
        <w:pStyle w:val="Normal"/>
        <w:ind w:firstLine="709"/>
        <w:rPr>
          <w:rFonts w:ascii="Times New Roman" w:hAnsi="Times New Roman" w:cs="Times New Roman"/>
          <w:sz w:val="24"/>
          <w:szCs w:val="24"/>
        </w:rPr>
      </w:pPr>
      <w:r>
        <w:rPr>
          <w:rFonts w:cs="Times New Roman" w:ascii="Times New Roman" w:hAnsi="Times New Roman"/>
          <w:sz w:val="24"/>
          <w:szCs w:val="24"/>
        </w:rPr>
        <w:t>б) соблюдение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лиц, замещающих иные муниципальные должности, и муниципальных служащих, установленные постановлением Совета администрации Красноярского края от 29.12.2007 № 512-п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лиц, замещающих иные муниципальные должности, и муниципальных служащих»;</w:t>
      </w:r>
    </w:p>
    <w:p>
      <w:pPr>
        <w:pStyle w:val="Normal"/>
        <w:ind w:firstLine="709"/>
        <w:rPr>
          <w:rFonts w:ascii="Times New Roman" w:hAnsi="Times New Roman" w:cs="Times New Roman"/>
          <w:sz w:val="24"/>
          <w:szCs w:val="24"/>
        </w:rPr>
      </w:pPr>
      <w:r>
        <w:rPr>
          <w:rFonts w:cs="Times New Roman" w:ascii="Times New Roman" w:hAnsi="Times New Roman"/>
          <w:sz w:val="24"/>
          <w:szCs w:val="24"/>
        </w:rPr>
        <w:t>в) предоставление в финансовое управление администрации Казачинского района ежеквартальной информации о расходовании субсидий, субвенций и иных межбюджетных трансфертах, предоставляемых из районного бюджета за счет средств краевого и федерального бюджетов по формам, установленным органами исполнительной власти Красноярского края, в срок не позднее 3-го числа месяца, следующего за отчетным кварталом;</w:t>
      </w:r>
    </w:p>
    <w:p>
      <w:pPr>
        <w:pStyle w:val="Normal"/>
        <w:ind w:firstLine="709"/>
        <w:rPr>
          <w:rFonts w:ascii="Times New Roman" w:hAnsi="Times New Roman" w:cs="Times New Roman"/>
          <w:sz w:val="24"/>
          <w:szCs w:val="24"/>
        </w:rPr>
      </w:pPr>
      <w:r>
        <w:rPr>
          <w:rFonts w:cs="Times New Roman" w:ascii="Times New Roman" w:hAnsi="Times New Roman"/>
          <w:sz w:val="24"/>
          <w:szCs w:val="24"/>
        </w:rPr>
        <w:t>г) предоставление в финансовое управление администрации Казачинского района информации о потребности на очередной месяц в субсидиях, субвенциях и иных межбюджетных трансфертах, предоставляемых из краевого и федерального бюджетов по формам, установленным органами исполнительной власти Красноярского края, в срок не позднее 15-го числа текущего месяца;</w:t>
      </w:r>
    </w:p>
    <w:p>
      <w:pPr>
        <w:pStyle w:val="Normal"/>
        <w:ind w:firstLine="709"/>
        <w:rPr>
          <w:rFonts w:ascii="Times New Roman" w:hAnsi="Times New Roman" w:cs="Times New Roman"/>
          <w:sz w:val="24"/>
          <w:szCs w:val="24"/>
        </w:rPr>
      </w:pPr>
      <w:r>
        <w:rPr>
          <w:rFonts w:cs="Times New Roman" w:ascii="Times New Roman" w:hAnsi="Times New Roman"/>
          <w:sz w:val="24"/>
          <w:szCs w:val="24"/>
        </w:rPr>
        <w:t>д)</w:t>
      </w:r>
      <w:r>
        <w:rPr/>
        <w:t xml:space="preserve"> </w:t>
      </w:r>
      <w:r>
        <w:rPr>
          <w:rFonts w:cs="Times New Roman" w:ascii="Times New Roman" w:hAnsi="Times New Roman"/>
          <w:sz w:val="24"/>
          <w:szCs w:val="24"/>
        </w:rPr>
        <w:t>предоставление в финансовое управление администрации Казачинского района Плана мероприятий по росту доходов, оптимизации расходов и совершенствованию межбюджетных отношений и долговой политики Дудовского сельсовета, в срок не позднее 1 февраля 2024 года.</w:t>
      </w:r>
    </w:p>
    <w:p>
      <w:pPr>
        <w:pStyle w:val="Normal"/>
        <w:ind w:firstLine="709"/>
        <w:rPr>
          <w:rFonts w:ascii="Times New Roman" w:hAnsi="Times New Roman" w:cs="Times New Roman"/>
          <w:sz w:val="24"/>
          <w:szCs w:val="24"/>
        </w:rPr>
      </w:pPr>
      <w:r>
        <w:rPr>
          <w:rFonts w:cs="Times New Roman" w:ascii="Times New Roman" w:hAnsi="Times New Roman"/>
          <w:sz w:val="24"/>
          <w:szCs w:val="24"/>
        </w:rPr>
        <w:t>е) представление в отдел экономики и планирования администрации Казачинского района по итогам полугодия, года - перечень и копии принятых в течение 2024 года муниципальных правовых актов об установлении, изменении и прекращении действия местных налогов согласно приложению № 2;</w:t>
      </w:r>
    </w:p>
    <w:p>
      <w:pPr>
        <w:pStyle w:val="Normal"/>
        <w:ind w:firstLine="709"/>
        <w:rPr>
          <w:rFonts w:ascii="Times New Roman" w:hAnsi="Times New Roman" w:cs="Times New Roman"/>
          <w:sz w:val="24"/>
          <w:szCs w:val="24"/>
        </w:rPr>
      </w:pPr>
      <w:r>
        <w:rPr>
          <w:rFonts w:cs="Times New Roman" w:ascii="Times New Roman" w:hAnsi="Times New Roman"/>
          <w:sz w:val="24"/>
          <w:szCs w:val="24"/>
        </w:rPr>
        <w:t>а) представление в отдел земельно-имущественных отношений администрации Казачинского района ежеквартально, в срок до 5 числа месяца, следующего за отчетным кварталом, информацию о состоянии арендного землепользования согласно приложению № 3.</w:t>
      </w:r>
    </w:p>
    <w:p>
      <w:pPr>
        <w:pStyle w:val="ListParagraph"/>
        <w:numPr>
          <w:ilvl w:val="0"/>
          <w:numId w:val="1"/>
        </w:numPr>
        <w:ind w:firstLine="709" w:left="0"/>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Постановление вступает в силу в день, следующий за днем его официальным опубликованием в газете «Дудовский вестник», на официальном сайте  </w:t>
      </w:r>
      <w:hyperlink r:id="rId2">
        <w:r>
          <w:rPr>
            <w:rStyle w:val="Hyperlink"/>
            <w:rFonts w:cs="Times New Roman" w:ascii="Times New Roman" w:hAnsi="Times New Roman"/>
            <w:sz w:val="24"/>
            <w:szCs w:val="24"/>
          </w:rPr>
          <w:t>https://dudovskij-r04.gosweb.gosuslugi.ru/</w:t>
        </w:r>
      </w:hyperlink>
      <w:r>
        <w:rPr>
          <w:rFonts w:cs="Times New Roman" w:ascii="Times New Roman" w:hAnsi="Times New Roman"/>
          <w:sz w:val="24"/>
          <w:szCs w:val="24"/>
        </w:rPr>
        <w:t>, и распространяет свое действие на правоотношения, возникшие с 1 января 2024 года.</w:t>
      </w:r>
    </w:p>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Normal"/>
        <w:ind w:hanging="0"/>
        <w:jc w:val="center"/>
        <w:rPr>
          <w:rFonts w:ascii="Times New Roman" w:hAnsi="Times New Roman" w:cs="Times New Roman"/>
          <w:sz w:val="24"/>
          <w:szCs w:val="24"/>
        </w:rPr>
      </w:pPr>
      <w:r>
        <w:rPr>
          <w:rFonts w:cs="Times New Roman" w:ascii="Times New Roman" w:hAnsi="Times New Roman"/>
          <w:sz w:val="24"/>
          <w:szCs w:val="24"/>
        </w:rPr>
        <w:t>Глава Дудовского сельсовета                                                                В.Н. Васильева</w:t>
      </w:r>
    </w:p>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Normal"/>
        <w:ind w:firstLine="709"/>
        <w:rPr>
          <w:rFonts w:ascii="Times New Roman" w:hAnsi="Times New Roman" w:cs="Times New Roman"/>
          <w:sz w:val="24"/>
          <w:szCs w:val="24"/>
        </w:rPr>
      </w:pPr>
      <w:r>
        <w:rPr>
          <w:rFonts w:cs="Times New Roman" w:ascii="Times New Roman" w:hAnsi="Times New Roman"/>
          <w:sz w:val="24"/>
          <w:szCs w:val="24"/>
        </w:rPr>
      </w:r>
    </w:p>
    <w:p>
      <w:pPr>
        <w:pStyle w:val="Normal"/>
        <w:rPr/>
      </w:pPr>
      <w:r>
        <w:rPr/>
      </w:r>
    </w:p>
    <w:p>
      <w:pPr>
        <w:sectPr>
          <w:type w:val="nextPage"/>
          <w:pgSz w:w="11906" w:h="16838"/>
          <w:pgMar w:left="1701" w:right="851" w:gutter="0" w:header="0" w:top="1134" w:footer="0" w:bottom="1134"/>
          <w:pgNumType w:fmt="decimal"/>
          <w:formProt w:val="false"/>
          <w:textDirection w:val="lrTb"/>
          <w:docGrid w:type="default" w:linePitch="100" w:charSpace="4096"/>
        </w:sectPr>
        <w:pStyle w:val="Normal"/>
        <w:rPr/>
      </w:pPr>
      <w:r>
        <w:rPr/>
      </w:r>
      <w:r>
        <w:br w:type="page"/>
      </w:r>
    </w:p>
    <w:p>
      <w:pPr>
        <w:pStyle w:val="Normal"/>
        <w:spacing w:before="0" w:after="0"/>
        <w:ind w:hanging="0"/>
        <w:jc w:val="right"/>
        <w:rPr>
          <w:rFonts w:ascii="Times New Roman" w:hAnsi="Times New Roman" w:cs="Times New Roman"/>
          <w:sz w:val="24"/>
          <w:szCs w:val="24"/>
        </w:rPr>
      </w:pPr>
      <w:bookmarkStart w:id="2" w:name="Par68"/>
      <w:bookmarkStart w:id="3" w:name="Par187"/>
      <w:bookmarkEnd w:id="2"/>
      <w:bookmarkEnd w:id="3"/>
      <w:r>
        <w:rPr>
          <w:rFonts w:cs="Times New Roman" w:ascii="Times New Roman" w:hAnsi="Times New Roman"/>
          <w:sz w:val="24"/>
          <w:szCs w:val="24"/>
        </w:rPr>
        <w:t>Приложение № 1</w:t>
      </w:r>
    </w:p>
    <w:p>
      <w:pPr>
        <w:pStyle w:val="Normal"/>
        <w:ind w:hanging="0"/>
        <w:jc w:val="right"/>
        <w:rPr>
          <w:rFonts w:ascii="Times New Roman" w:hAnsi="Times New Roman" w:cs="Times New Roman"/>
          <w:sz w:val="24"/>
          <w:szCs w:val="24"/>
        </w:rPr>
      </w:pPr>
      <w:r>
        <w:rPr>
          <w:rFonts w:cs="Times New Roman" w:ascii="Times New Roman" w:hAnsi="Times New Roman"/>
          <w:sz w:val="24"/>
          <w:szCs w:val="24"/>
        </w:rPr>
        <w:t>к Постановлению</w:t>
      </w:r>
    </w:p>
    <w:p>
      <w:pPr>
        <w:pStyle w:val="Normal"/>
        <w:ind w:hanging="0"/>
        <w:jc w:val="right"/>
        <w:rPr>
          <w:rFonts w:ascii="Times New Roman" w:hAnsi="Times New Roman" w:cs="Times New Roman"/>
          <w:sz w:val="24"/>
          <w:szCs w:val="24"/>
        </w:rPr>
      </w:pPr>
      <w:r>
        <w:rPr>
          <w:rFonts w:cs="Times New Roman" w:ascii="Times New Roman" w:hAnsi="Times New Roman"/>
          <w:sz w:val="24"/>
          <w:szCs w:val="24"/>
        </w:rPr>
        <w:t>администрации Дудовского сельсовета</w:t>
      </w:r>
    </w:p>
    <w:p>
      <w:pPr>
        <w:pStyle w:val="Normal"/>
        <w:ind w:firstLine="539"/>
        <w:jc w:val="right"/>
        <w:rPr>
          <w:rFonts w:ascii="Times New Roman" w:hAnsi="Times New Roman" w:cs="Times New Roman"/>
          <w:sz w:val="24"/>
          <w:szCs w:val="24"/>
        </w:rPr>
      </w:pPr>
      <w:r>
        <w:rPr>
          <w:rFonts w:cs="Times New Roman" w:ascii="Times New Roman" w:hAnsi="Times New Roman"/>
          <w:sz w:val="24"/>
          <w:szCs w:val="24"/>
        </w:rPr>
        <w:t>от 23 января 2024 г. № 9</w:t>
      </w:r>
    </w:p>
    <w:p>
      <w:pPr>
        <w:pStyle w:val="Normal"/>
        <w:ind w:firstLine="539"/>
        <w:jc w:val="right"/>
        <w:rPr>
          <w:rFonts w:ascii="Times New Roman" w:hAnsi="Times New Roman" w:cs="Times New Roman"/>
          <w:sz w:val="24"/>
          <w:szCs w:val="24"/>
        </w:rPr>
      </w:pPr>
      <w:r>
        <w:rPr>
          <w:rFonts w:cs="Times New Roman" w:ascii="Times New Roman" w:hAnsi="Times New Roman"/>
          <w:sz w:val="24"/>
          <w:szCs w:val="24"/>
        </w:rPr>
      </w:r>
    </w:p>
    <w:p>
      <w:pPr>
        <w:pStyle w:val="Normal"/>
        <w:ind w:firstLine="539"/>
        <w:jc w:val="center"/>
        <w:rPr>
          <w:rFonts w:ascii="Times New Roman" w:hAnsi="Times New Roman" w:cs="Times New Roman"/>
          <w:sz w:val="24"/>
          <w:szCs w:val="24"/>
        </w:rPr>
      </w:pPr>
      <w:bookmarkStart w:id="4" w:name="Par192"/>
      <w:bookmarkEnd w:id="4"/>
      <w:r>
        <w:rPr>
          <w:rFonts w:cs="Times New Roman" w:ascii="Times New Roman" w:hAnsi="Times New Roman"/>
          <w:sz w:val="24"/>
          <w:szCs w:val="24"/>
        </w:rPr>
        <w:t>ПЕРЕЧЕНЬ ТОВАРОВ, РАБОТ И УСЛУГ, АВАНСОВЫЕ ПЛАТЕЖИ ПО КОТОРЫМ МОГУТ ПРЕДУСМАТРИВАТЬСЯ В РАЗМЕРЕ 100 ПРОЦЕНТОВ ОТ СУММЫ ДОГОВОРА (КОНТРАКТА)</w:t>
      </w:r>
    </w:p>
    <w:p>
      <w:pPr>
        <w:pStyle w:val="Normal"/>
        <w:ind w:firstLine="539"/>
        <w:rPr>
          <w:rFonts w:ascii="Times New Roman" w:hAnsi="Times New Roman" w:cs="Times New Roman"/>
          <w:sz w:val="24"/>
          <w:szCs w:val="24"/>
        </w:rPr>
      </w:pPr>
      <w:r>
        <w:rPr>
          <w:rFonts w:cs="Times New Roman" w:ascii="Times New Roman" w:hAnsi="Times New Roman"/>
          <w:sz w:val="24"/>
          <w:szCs w:val="24"/>
        </w:rPr>
      </w:r>
    </w:p>
    <w:p>
      <w:pPr>
        <w:pStyle w:val="Normal"/>
        <w:ind w:firstLine="539"/>
        <w:rPr>
          <w:rFonts w:ascii="Times New Roman" w:hAnsi="Times New Roman" w:cs="Times New Roman"/>
          <w:sz w:val="24"/>
          <w:szCs w:val="24"/>
        </w:rPr>
      </w:pPr>
      <w:r>
        <w:rPr>
          <w:rFonts w:cs="Times New Roman" w:ascii="Times New Roman" w:hAnsi="Times New Roman"/>
          <w:sz w:val="24"/>
          <w:szCs w:val="24"/>
        </w:rPr>
        <w:t>1. Услуги по подписке на периодические издания, услуги почтовой связи.</w:t>
      </w:r>
    </w:p>
    <w:p>
      <w:pPr>
        <w:pStyle w:val="Normal"/>
        <w:ind w:firstLine="539"/>
        <w:rPr>
          <w:rFonts w:ascii="Times New Roman" w:hAnsi="Times New Roman" w:cs="Times New Roman"/>
          <w:sz w:val="24"/>
          <w:szCs w:val="24"/>
        </w:rPr>
      </w:pPr>
      <w:r>
        <w:rPr>
          <w:rFonts w:cs="Times New Roman" w:ascii="Times New Roman" w:hAnsi="Times New Roman"/>
          <w:sz w:val="24"/>
          <w:szCs w:val="24"/>
        </w:rPr>
        <w:t>2. Услуги по обучению на курсах повышения квалификации, в том числе участие в лекциях и вебинарах очно или онлайн, по прохождению профессиональной переподготовки, взносы на участие в семинарах, совещаниях, форумах, соревнованиях, конференциях, выставках.</w:t>
      </w:r>
    </w:p>
    <w:p>
      <w:pPr>
        <w:pStyle w:val="Normal"/>
        <w:ind w:firstLine="539"/>
        <w:rPr>
          <w:rFonts w:ascii="Times New Roman" w:hAnsi="Times New Roman" w:cs="Times New Roman"/>
          <w:sz w:val="24"/>
          <w:szCs w:val="24"/>
        </w:rPr>
      </w:pPr>
      <w:r>
        <w:rPr>
          <w:rFonts w:cs="Times New Roman" w:ascii="Times New Roman" w:hAnsi="Times New Roman"/>
          <w:sz w:val="24"/>
          <w:szCs w:val="24"/>
        </w:rPr>
        <w:t>3. Приобретение ученических медалей, учебно-педагогической и аттестационно-бланочной документации.</w:t>
      </w:r>
    </w:p>
    <w:p>
      <w:pPr>
        <w:pStyle w:val="Normal"/>
        <w:ind w:firstLine="539"/>
        <w:rPr>
          <w:rFonts w:ascii="Times New Roman" w:hAnsi="Times New Roman" w:cs="Times New Roman"/>
          <w:sz w:val="24"/>
          <w:szCs w:val="24"/>
        </w:rPr>
      </w:pPr>
      <w:r>
        <w:rPr>
          <w:rFonts w:cs="Times New Roman" w:ascii="Times New Roman" w:hAnsi="Times New Roman"/>
          <w:sz w:val="24"/>
          <w:szCs w:val="24"/>
        </w:rPr>
        <w:t>4. Мероприятия по организации трудового воспитания несовершеннолетних граждан в возрасте от 14 до 18 лет.</w:t>
      </w:r>
    </w:p>
    <w:p>
      <w:pPr>
        <w:pStyle w:val="Normal"/>
        <w:ind w:firstLine="539"/>
        <w:rPr>
          <w:rFonts w:ascii="Times New Roman" w:hAnsi="Times New Roman" w:cs="Times New Roman"/>
          <w:sz w:val="24"/>
          <w:szCs w:val="24"/>
        </w:rPr>
      </w:pPr>
      <w:r>
        <w:rPr>
          <w:rFonts w:cs="Times New Roman" w:ascii="Times New Roman" w:hAnsi="Times New Roman"/>
          <w:sz w:val="24"/>
          <w:szCs w:val="24"/>
        </w:rPr>
        <w:t>5. Путевки в детские оздоровительные лагеря.</w:t>
      </w:r>
    </w:p>
    <w:p>
      <w:pPr>
        <w:pStyle w:val="Normal"/>
        <w:ind w:firstLine="539"/>
        <w:rPr>
          <w:rFonts w:ascii="Times New Roman" w:hAnsi="Times New Roman" w:cs="Times New Roman"/>
          <w:sz w:val="24"/>
          <w:szCs w:val="24"/>
        </w:rPr>
      </w:pPr>
      <w:r>
        <w:rPr>
          <w:rFonts w:cs="Times New Roman" w:ascii="Times New Roman" w:hAnsi="Times New Roman"/>
          <w:sz w:val="24"/>
          <w:szCs w:val="24"/>
        </w:rPr>
        <w:t>6. Билеты на посещение краевых и муниципальных учреждений культуры.</w:t>
      </w:r>
    </w:p>
    <w:p>
      <w:pPr>
        <w:pStyle w:val="Normal"/>
        <w:ind w:firstLine="539"/>
        <w:rPr>
          <w:rFonts w:ascii="Times New Roman" w:hAnsi="Times New Roman" w:cs="Times New Roman"/>
          <w:sz w:val="24"/>
          <w:szCs w:val="24"/>
        </w:rPr>
      </w:pPr>
      <w:r>
        <w:rPr>
          <w:rFonts w:cs="Times New Roman" w:ascii="Times New Roman" w:hAnsi="Times New Roman"/>
          <w:sz w:val="24"/>
          <w:szCs w:val="24"/>
        </w:rPr>
        <w:t>7. Услуги по организации и проведению мероприятий (концертов) с участием приглашенных коллективов, исполнителей.</w:t>
      </w:r>
    </w:p>
    <w:p>
      <w:pPr>
        <w:pStyle w:val="Normal"/>
        <w:ind w:firstLine="539"/>
        <w:rPr>
          <w:rFonts w:ascii="Times New Roman" w:hAnsi="Times New Roman" w:cs="Times New Roman"/>
          <w:sz w:val="24"/>
          <w:szCs w:val="24"/>
        </w:rPr>
      </w:pPr>
      <w:r>
        <w:rPr>
          <w:rFonts w:cs="Times New Roman" w:ascii="Times New Roman" w:hAnsi="Times New Roman"/>
          <w:sz w:val="24"/>
          <w:szCs w:val="24"/>
        </w:rPr>
        <w:t>8. Услуги по страхованию жизни, здоровья и имущества физических и юридических лиц (в том числе услуги по обязательному страхованию гражданской ответственности владельцев транспортных средств,</w:t>
      </w:r>
      <w:r>
        <w:rPr/>
        <w:t xml:space="preserve"> </w:t>
      </w:r>
      <w:r>
        <w:rPr>
          <w:rFonts w:cs="Times New Roman" w:ascii="Times New Roman" w:hAnsi="Times New Roman"/>
          <w:sz w:val="24"/>
          <w:szCs w:val="24"/>
        </w:rPr>
        <w:t>владельцев опасных объектов за причинение вреда в результате аварии на опасном объекте).</w:t>
      </w:r>
    </w:p>
    <w:p>
      <w:pPr>
        <w:pStyle w:val="Normal"/>
        <w:ind w:firstLine="539"/>
        <w:rPr>
          <w:rFonts w:ascii="Times New Roman" w:hAnsi="Times New Roman" w:cs="Times New Roman"/>
          <w:sz w:val="24"/>
          <w:szCs w:val="24"/>
        </w:rPr>
      </w:pPr>
      <w:r>
        <w:rPr>
          <w:rFonts w:cs="Times New Roman" w:ascii="Times New Roman" w:hAnsi="Times New Roman"/>
          <w:sz w:val="24"/>
          <w:szCs w:val="24"/>
        </w:rPr>
        <w:t>9. Услуги сотовой связи, стационарной телефонной связи, информационно-телекоммуникационной сети Интернет.</w:t>
      </w:r>
    </w:p>
    <w:p>
      <w:pPr>
        <w:pStyle w:val="Normal"/>
        <w:ind w:firstLine="539"/>
        <w:rPr>
          <w:rFonts w:ascii="Times New Roman" w:hAnsi="Times New Roman" w:cs="Times New Roman"/>
          <w:sz w:val="24"/>
          <w:szCs w:val="24"/>
        </w:rPr>
      </w:pPr>
      <w:r>
        <w:rPr>
          <w:rFonts w:cs="Times New Roman" w:ascii="Times New Roman" w:hAnsi="Times New Roman"/>
          <w:sz w:val="24"/>
          <w:szCs w:val="24"/>
        </w:rPr>
        <w:t>10. Авиа- и железнодорожные билеты, билеты для проезда городским, пригородным и междугородним автомобильным транспортом.</w:t>
      </w:r>
    </w:p>
    <w:p>
      <w:pPr>
        <w:pStyle w:val="Normal"/>
        <w:ind w:firstLine="539"/>
        <w:rPr>
          <w:rFonts w:ascii="Times New Roman" w:hAnsi="Times New Roman" w:cs="Times New Roman"/>
          <w:sz w:val="24"/>
          <w:szCs w:val="24"/>
        </w:rPr>
      </w:pPr>
      <w:r>
        <w:rPr>
          <w:rFonts w:cs="Times New Roman" w:ascii="Times New Roman" w:hAnsi="Times New Roman"/>
          <w:sz w:val="24"/>
          <w:szCs w:val="24"/>
        </w:rPr>
        <w:t>11. Услуги по экспертизе оргтехники и оборудования.</w:t>
      </w:r>
    </w:p>
    <w:p>
      <w:pPr>
        <w:pStyle w:val="Normal"/>
        <w:ind w:firstLine="539"/>
        <w:rPr>
          <w:rFonts w:ascii="Times New Roman" w:hAnsi="Times New Roman" w:cs="Times New Roman"/>
          <w:sz w:val="24"/>
          <w:szCs w:val="24"/>
        </w:rPr>
      </w:pPr>
      <w:r>
        <w:rPr>
          <w:rFonts w:cs="Times New Roman" w:ascii="Times New Roman" w:hAnsi="Times New Roman"/>
          <w:sz w:val="24"/>
          <w:szCs w:val="24"/>
        </w:rPr>
        <w:t>12. Услуги по санитарным эпидемиологическим и гигиеническим исследованиям.</w:t>
      </w:r>
    </w:p>
    <w:p>
      <w:pPr>
        <w:pStyle w:val="Normal"/>
        <w:ind w:firstLine="539"/>
        <w:rPr>
          <w:rFonts w:ascii="Times New Roman" w:hAnsi="Times New Roman" w:cs="Times New Roman"/>
          <w:sz w:val="24"/>
          <w:szCs w:val="24"/>
        </w:rPr>
      </w:pPr>
      <w:r>
        <w:rPr>
          <w:rFonts w:cs="Times New Roman" w:ascii="Times New Roman" w:hAnsi="Times New Roman"/>
          <w:sz w:val="24"/>
          <w:szCs w:val="24"/>
        </w:rPr>
        <w:t>13. Услуги по техническому учету объектов недвижимости.</w:t>
      </w:r>
    </w:p>
    <w:p>
      <w:pPr>
        <w:pStyle w:val="Normal"/>
        <w:ind w:firstLine="539"/>
        <w:rPr>
          <w:rFonts w:ascii="Times New Roman" w:hAnsi="Times New Roman" w:cs="Times New Roman"/>
          <w:sz w:val="24"/>
          <w:szCs w:val="24"/>
        </w:rPr>
      </w:pPr>
      <w:r>
        <w:rPr>
          <w:rFonts w:cs="Times New Roman" w:ascii="Times New Roman" w:hAnsi="Times New Roman"/>
          <w:sz w:val="24"/>
          <w:szCs w:val="24"/>
        </w:rPr>
        <w:t>14. Технологическое присоединение к инженерным сетям электро-, тепло-, водоснабжения и канализации, а также получение технических условий на проектирование.</w:t>
      </w:r>
    </w:p>
    <w:p>
      <w:pPr>
        <w:pStyle w:val="Normal"/>
        <w:ind w:firstLine="539"/>
        <w:rPr>
          <w:rFonts w:ascii="Times New Roman" w:hAnsi="Times New Roman" w:cs="Times New Roman"/>
          <w:sz w:val="24"/>
          <w:szCs w:val="24"/>
        </w:rPr>
      </w:pPr>
      <w:r>
        <w:rPr>
          <w:rFonts w:cs="Times New Roman" w:ascii="Times New Roman" w:hAnsi="Times New Roman"/>
          <w:sz w:val="24"/>
          <w:szCs w:val="24"/>
        </w:rPr>
        <w:t>15. Получение технических условий на технологическое присоединение к инженерным сетям электро-, водоснабжения, монтаж узлов учета расхода холодной воды, приборов учета электрической энергии.</w:t>
      </w:r>
    </w:p>
    <w:p>
      <w:pPr>
        <w:pStyle w:val="Normal"/>
        <w:ind w:firstLine="539"/>
        <w:rPr>
          <w:rFonts w:ascii="Times New Roman" w:hAnsi="Times New Roman" w:cs="Times New Roman"/>
          <w:sz w:val="24"/>
          <w:szCs w:val="24"/>
        </w:rPr>
      </w:pPr>
      <w:r>
        <w:rPr>
          <w:rFonts w:cs="Times New Roman" w:ascii="Times New Roman" w:hAnsi="Times New Roman"/>
          <w:sz w:val="24"/>
          <w:szCs w:val="24"/>
        </w:rPr>
        <w:t>16. Услуги по согласованию и получению заключений надзорных органов, необходимые для получения разрешений на строительство, ввод объектов в эксплуатацию.</w:t>
      </w:r>
    </w:p>
    <w:p>
      <w:pPr>
        <w:pStyle w:val="Normal"/>
        <w:ind w:firstLine="539"/>
        <w:rPr>
          <w:rFonts w:ascii="Times New Roman" w:hAnsi="Times New Roman" w:cs="Times New Roman"/>
          <w:sz w:val="24"/>
          <w:szCs w:val="24"/>
        </w:rPr>
      </w:pPr>
      <w:r>
        <w:rPr>
          <w:rFonts w:cs="Times New Roman" w:ascii="Times New Roman" w:hAnsi="Times New Roman"/>
          <w:sz w:val="24"/>
          <w:szCs w:val="24"/>
        </w:rPr>
        <w:t xml:space="preserve">17. Услуги по проведению государственной экспертизы проектной документации, инженерных изысканий, проверки достоверности определения сметной стоимости объектов капитального строительства. </w:t>
      </w:r>
    </w:p>
    <w:p>
      <w:pPr>
        <w:pStyle w:val="Normal"/>
        <w:ind w:firstLine="539"/>
        <w:rPr>
          <w:rFonts w:ascii="Times New Roman" w:hAnsi="Times New Roman" w:cs="Times New Roman"/>
          <w:sz w:val="24"/>
          <w:szCs w:val="24"/>
        </w:rPr>
      </w:pPr>
      <w:r>
        <w:rPr>
          <w:rFonts w:cs="Times New Roman" w:ascii="Times New Roman" w:hAnsi="Times New Roman"/>
          <w:sz w:val="24"/>
          <w:szCs w:val="24"/>
        </w:rPr>
        <w:t>18. Приобретение цветов, наградной продукции.</w:t>
      </w:r>
    </w:p>
    <w:p>
      <w:pPr>
        <w:pStyle w:val="Normal"/>
        <w:ind w:firstLine="539"/>
        <w:rPr>
          <w:rFonts w:ascii="Times New Roman" w:hAnsi="Times New Roman" w:cs="Times New Roman"/>
          <w:sz w:val="24"/>
          <w:szCs w:val="24"/>
        </w:rPr>
      </w:pPr>
      <w:r>
        <w:rPr>
          <w:rFonts w:cs="Times New Roman" w:ascii="Times New Roman" w:hAnsi="Times New Roman"/>
          <w:sz w:val="24"/>
          <w:szCs w:val="24"/>
        </w:rPr>
        <w:t>19. Услуги по организации отдыха и оздоровления детей.</w:t>
      </w:r>
    </w:p>
    <w:p>
      <w:pPr>
        <w:pStyle w:val="Normal"/>
        <w:ind w:firstLine="539"/>
        <w:rPr>
          <w:rFonts w:ascii="Times New Roman" w:hAnsi="Times New Roman" w:cs="Times New Roman"/>
          <w:sz w:val="24"/>
          <w:szCs w:val="24"/>
        </w:rPr>
      </w:pPr>
      <w:r>
        <w:rPr>
          <w:rFonts w:cs="Times New Roman" w:ascii="Times New Roman" w:hAnsi="Times New Roman"/>
          <w:sz w:val="24"/>
          <w:szCs w:val="24"/>
        </w:rPr>
        <w:t>20. Услуги по предоставлению неисключительной лицензии (неисключительных прав) на использование оригинальных аудиовизуальных произведений.</w:t>
      </w:r>
    </w:p>
    <w:p>
      <w:pPr>
        <w:pStyle w:val="Normal"/>
        <w:ind w:firstLine="539"/>
        <w:rPr>
          <w:rFonts w:ascii="Times New Roman" w:hAnsi="Times New Roman" w:cs="Times New Roman"/>
          <w:sz w:val="24"/>
          <w:szCs w:val="24"/>
        </w:rPr>
      </w:pPr>
      <w:r>
        <w:rPr>
          <w:rFonts w:cs="Times New Roman" w:ascii="Times New Roman" w:hAnsi="Times New Roman"/>
          <w:sz w:val="24"/>
          <w:szCs w:val="24"/>
        </w:rPr>
        <w:t>21. Услуги по государственной экологической экспертизе.</w:t>
      </w:r>
    </w:p>
    <w:p>
      <w:pPr>
        <w:pStyle w:val="Normal"/>
        <w:ind w:firstLine="539"/>
        <w:rPr>
          <w:rFonts w:ascii="Times New Roman" w:hAnsi="Times New Roman" w:cs="Times New Roman"/>
          <w:sz w:val="24"/>
          <w:szCs w:val="24"/>
        </w:rPr>
      </w:pPr>
      <w:r>
        <w:rPr>
          <w:rFonts w:cs="Times New Roman" w:ascii="Times New Roman" w:hAnsi="Times New Roman"/>
          <w:sz w:val="24"/>
          <w:szCs w:val="24"/>
        </w:rPr>
        <w:t>22. Услуги по бронированию и найму жилых помещений, связанные со служебными командировками.</w:t>
      </w:r>
    </w:p>
    <w:p>
      <w:pPr>
        <w:pStyle w:val="Normal"/>
        <w:ind w:firstLine="539"/>
        <w:rPr>
          <w:rFonts w:ascii="Times New Roman" w:hAnsi="Times New Roman" w:cs="Times New Roman"/>
          <w:sz w:val="24"/>
          <w:szCs w:val="24"/>
        </w:rPr>
      </w:pPr>
      <w:r>
        <w:rPr>
          <w:rFonts w:cs="Times New Roman" w:ascii="Times New Roman" w:hAnsi="Times New Roman"/>
          <w:sz w:val="24"/>
          <w:szCs w:val="24"/>
        </w:rPr>
        <w:t>23. Услуги, связанные с направлением спортсменов и сопровождающих их лиц (перевозка, проживание, питание, аренда спортсооружений и инвентаря) для подготовки (тренировочные сборы) и участия в официальных муниципальных, межмуниципальных, региональных, межрегиональных, всероссийских и международных спортивных и физкультурных мероприятиях.</w:t>
      </w:r>
    </w:p>
    <w:p>
      <w:pPr>
        <w:pStyle w:val="Normal"/>
        <w:ind w:firstLine="539"/>
        <w:rPr>
          <w:rFonts w:ascii="Times New Roman" w:hAnsi="Times New Roman" w:cs="Times New Roman"/>
          <w:sz w:val="24"/>
          <w:szCs w:val="24"/>
        </w:rPr>
      </w:pPr>
      <w:r>
        <w:rPr>
          <w:rFonts w:cs="Times New Roman" w:ascii="Times New Roman" w:hAnsi="Times New Roman"/>
          <w:sz w:val="24"/>
          <w:szCs w:val="24"/>
        </w:rPr>
        <w:t>24. Товары, работы и услуги, приобретаемые для оказания медицинской помощи в неотложной или экстренной форме, в том числе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w:t>
      </w:r>
    </w:p>
    <w:p>
      <w:pPr>
        <w:pStyle w:val="Normal"/>
        <w:ind w:firstLine="539"/>
        <w:rPr>
          <w:rFonts w:ascii="Times New Roman" w:hAnsi="Times New Roman" w:cs="Times New Roman"/>
          <w:sz w:val="24"/>
          <w:szCs w:val="24"/>
        </w:rPr>
      </w:pPr>
      <w:r>
        <w:rPr>
          <w:rFonts w:cs="Times New Roman" w:ascii="Times New Roman" w:hAnsi="Times New Roman"/>
          <w:sz w:val="24"/>
          <w:szCs w:val="24"/>
        </w:rPr>
        <w:t>25. Услуги по регистрации (продлению срока регистрации) доменного имени.</w:t>
      </w:r>
    </w:p>
    <w:p>
      <w:pPr>
        <w:pStyle w:val="Normal"/>
        <w:ind w:firstLine="539"/>
        <w:rPr>
          <w:rFonts w:ascii="Times New Roman" w:hAnsi="Times New Roman" w:cs="Times New Roman"/>
          <w:sz w:val="24"/>
          <w:szCs w:val="24"/>
        </w:rPr>
      </w:pPr>
      <w:r>
        <w:rPr>
          <w:rFonts w:cs="Times New Roman" w:ascii="Times New Roman" w:hAnsi="Times New Roman"/>
          <w:sz w:val="24"/>
          <w:szCs w:val="24"/>
        </w:rPr>
        <w:t>26. Товары, приобретаемые в целях модернизации и обслуживания информационно-телекоммуникационной сети, систем хранения данных, информационных систем и систем видеонаблюдения, а именно:</w:t>
      </w:r>
    </w:p>
    <w:p>
      <w:pPr>
        <w:pStyle w:val="Normal"/>
        <w:ind w:firstLine="539"/>
        <w:rPr>
          <w:rFonts w:ascii="Times New Roman" w:hAnsi="Times New Roman" w:cs="Times New Roman"/>
          <w:sz w:val="24"/>
          <w:szCs w:val="24"/>
        </w:rPr>
      </w:pPr>
      <w:r>
        <w:rPr>
          <w:rFonts w:cs="Times New Roman" w:ascii="Times New Roman" w:hAnsi="Times New Roman"/>
          <w:sz w:val="24"/>
          <w:szCs w:val="24"/>
        </w:rPr>
        <w:t>средства связи, выполняющие функцию систем коммутации;</w:t>
      </w:r>
    </w:p>
    <w:p>
      <w:pPr>
        <w:pStyle w:val="Normal"/>
        <w:ind w:firstLine="539"/>
        <w:rPr>
          <w:rFonts w:ascii="Times New Roman" w:hAnsi="Times New Roman" w:cs="Times New Roman"/>
          <w:sz w:val="24"/>
          <w:szCs w:val="24"/>
        </w:rPr>
      </w:pPr>
      <w:r>
        <w:rPr>
          <w:rFonts w:cs="Times New Roman" w:ascii="Times New Roman" w:hAnsi="Times New Roman"/>
          <w:sz w:val="24"/>
          <w:szCs w:val="24"/>
        </w:rPr>
        <w:t>машины вычислительные электронные цифровые, поставляемые в виде систем для автоматической обработки данных;</w:t>
      </w:r>
    </w:p>
    <w:p>
      <w:pPr>
        <w:pStyle w:val="Normal"/>
        <w:ind w:firstLine="539"/>
        <w:rPr>
          <w:rFonts w:ascii="Times New Roman" w:hAnsi="Times New Roman" w:cs="Times New Roman"/>
          <w:sz w:val="24"/>
          <w:szCs w:val="24"/>
        </w:rPr>
      </w:pPr>
      <w:r>
        <w:rPr>
          <w:rFonts w:cs="Times New Roman" w:ascii="Times New Roman" w:hAnsi="Times New Roman"/>
          <w:sz w:val="24"/>
          <w:szCs w:val="24"/>
        </w:rPr>
        <w:t>видеокамеры;</w:t>
      </w:r>
    </w:p>
    <w:p>
      <w:pPr>
        <w:pStyle w:val="Normal"/>
        <w:ind w:firstLine="539"/>
        <w:rPr>
          <w:rFonts w:ascii="Times New Roman" w:hAnsi="Times New Roman" w:cs="Times New Roman"/>
          <w:sz w:val="24"/>
          <w:szCs w:val="24"/>
        </w:rPr>
      </w:pPr>
      <w:r>
        <w:rPr>
          <w:rFonts w:cs="Times New Roman" w:ascii="Times New Roman" w:hAnsi="Times New Roman"/>
          <w:sz w:val="24"/>
          <w:szCs w:val="24"/>
        </w:rPr>
        <w:t>источники бесперебойного питания;</w:t>
      </w:r>
    </w:p>
    <w:p>
      <w:pPr>
        <w:pStyle w:val="Normal"/>
        <w:ind w:firstLine="539"/>
        <w:rPr>
          <w:rFonts w:ascii="Times New Roman" w:hAnsi="Times New Roman" w:cs="Times New Roman"/>
          <w:sz w:val="24"/>
          <w:szCs w:val="24"/>
        </w:rPr>
      </w:pPr>
      <w:r>
        <w:rPr>
          <w:rFonts w:cs="Times New Roman" w:ascii="Times New Roman" w:hAnsi="Times New Roman"/>
          <w:sz w:val="24"/>
          <w:szCs w:val="24"/>
        </w:rPr>
        <w:t>машины вычислительные электронные цифровые прочие, содержащие или не содержащие в одном корпусе одно или два из следующих устройств для автоматической обработки данных: запоминающие устройства, устройства ввода, устройства вывода;</w:t>
      </w:r>
    </w:p>
    <w:p>
      <w:pPr>
        <w:pStyle w:val="Normal"/>
        <w:ind w:firstLine="539"/>
        <w:rPr>
          <w:rFonts w:ascii="Times New Roman" w:hAnsi="Times New Roman" w:cs="Times New Roman"/>
          <w:sz w:val="24"/>
          <w:szCs w:val="24"/>
        </w:rPr>
      </w:pPr>
      <w:r>
        <w:rPr>
          <w:rFonts w:cs="Times New Roman" w:ascii="Times New Roman" w:hAnsi="Times New Roman"/>
          <w:sz w:val="24"/>
          <w:szCs w:val="24"/>
        </w:rPr>
        <w:t>компьютеры портативные массой не более 10 кг, такие как ноутбуки, планшетные компьютеры, карманные компьютеры, в том числе совмещающие функции мобильного телефонного аппарата.</w:t>
      </w:r>
    </w:p>
    <w:p>
      <w:pPr>
        <w:pStyle w:val="Normal"/>
        <w:ind w:firstLine="539"/>
        <w:rPr>
          <w:rFonts w:ascii="Times New Roman" w:hAnsi="Times New Roman" w:cs="Times New Roman"/>
          <w:sz w:val="24"/>
          <w:szCs w:val="24"/>
        </w:rPr>
      </w:pPr>
      <w:r>
        <w:rPr>
          <w:rFonts w:cs="Times New Roman" w:ascii="Times New Roman" w:hAnsi="Times New Roman"/>
          <w:sz w:val="24"/>
          <w:szCs w:val="24"/>
        </w:rPr>
        <w:t>27. Приобретение горюче-смазочных материалов.</w:t>
      </w:r>
    </w:p>
    <w:p>
      <w:pPr>
        <w:pStyle w:val="Normal"/>
        <w:ind w:firstLine="539"/>
        <w:rPr>
          <w:rFonts w:ascii="Times New Roman" w:hAnsi="Times New Roman" w:cs="Times New Roman"/>
          <w:sz w:val="24"/>
          <w:szCs w:val="24"/>
        </w:rPr>
      </w:pPr>
      <w:r>
        <w:rPr>
          <w:rFonts w:cs="Times New Roman" w:ascii="Times New Roman" w:hAnsi="Times New Roman"/>
          <w:sz w:val="24"/>
          <w:szCs w:val="24"/>
        </w:rPr>
        <w:t>28. Услуги, связанные с направлением участников культурных мероприятий, деятелей и работников культуры и искусства, а также сопровождающих их лиц (перевозка, проживание, питание, аренда помещений и иного имущества) для подготовки и участия в проводимых за пределами Казачинского района официальных региональных, межрегиональных, всероссийских и международных культурных мероприятиях (иных проектах и мероприятиях).</w:t>
      </w:r>
    </w:p>
    <w:p>
      <w:pPr>
        <w:pStyle w:val="Normal"/>
        <w:ind w:firstLine="539"/>
        <w:rPr>
          <w:rFonts w:ascii="Times New Roman" w:hAnsi="Times New Roman" w:cs="Times New Roman"/>
          <w:sz w:val="24"/>
          <w:szCs w:val="24"/>
        </w:rPr>
      </w:pPr>
      <w:r>
        <w:rPr>
          <w:rFonts w:cs="Times New Roman" w:ascii="Times New Roman" w:hAnsi="Times New Roman"/>
          <w:sz w:val="24"/>
          <w:szCs w:val="24"/>
        </w:rPr>
        <w:t>29. Услуги перевозки грузов автомобильным (авиа, железнодорожным) транспортом, по курьерской доставке грузов, экспресс-доставке.</w:t>
      </w:r>
    </w:p>
    <w:p>
      <w:pPr>
        <w:pStyle w:val="Normal"/>
        <w:ind w:firstLine="539"/>
        <w:rPr>
          <w:rFonts w:ascii="Times New Roman" w:hAnsi="Times New Roman" w:cs="Times New Roman"/>
          <w:sz w:val="24"/>
          <w:szCs w:val="24"/>
        </w:rPr>
      </w:pPr>
      <w:r>
        <w:rPr>
          <w:rFonts w:cs="Times New Roman" w:ascii="Times New Roman" w:hAnsi="Times New Roman"/>
          <w:sz w:val="24"/>
          <w:szCs w:val="24"/>
        </w:rPr>
        <w:t>30. Товары, работы, услуги, приобретаемые на основании статья 73 Бюджетного кодекса Российской Федерации с целью проведения ремонтных работ, выполняемых для устранения незначительных дефектов или поломок в помещении или объектов основных средств, а также связанных с содержанием имущества получателя средств местного бюджета, муниципальных автономных и бюджетных учреждений и поддержания его в надлежащем состоянии, стоимостью не более десяти тысяч рублей.</w:t>
      </w:r>
    </w:p>
    <w:p>
      <w:pPr>
        <w:pStyle w:val="Normal"/>
        <w:ind w:firstLine="539"/>
        <w:rPr>
          <w:rFonts w:ascii="Times New Roman" w:hAnsi="Times New Roman" w:cs="Times New Roman"/>
          <w:sz w:val="24"/>
          <w:szCs w:val="24"/>
        </w:rPr>
      </w:pPr>
      <w:r>
        <w:rPr>
          <w:rFonts w:cs="Times New Roman" w:ascii="Times New Roman" w:hAnsi="Times New Roman"/>
          <w:sz w:val="24"/>
          <w:szCs w:val="24"/>
        </w:rPr>
      </w:r>
      <w:r>
        <w:br w:type="page"/>
      </w:r>
    </w:p>
    <w:p>
      <w:pPr>
        <w:pStyle w:val="Normal"/>
        <w:spacing w:before="0" w:after="0"/>
        <w:ind w:firstLine="539"/>
        <w:jc w:val="right"/>
        <w:rPr>
          <w:rFonts w:ascii="Times New Roman" w:hAnsi="Times New Roman" w:cs="Times New Roman"/>
          <w:sz w:val="24"/>
          <w:szCs w:val="24"/>
        </w:rPr>
      </w:pPr>
      <w:r>
        <w:rPr>
          <w:rFonts w:cs="Times New Roman" w:ascii="Times New Roman" w:hAnsi="Times New Roman"/>
          <w:sz w:val="24"/>
          <w:szCs w:val="24"/>
        </w:rPr>
        <w:t>Приложение № 2</w:t>
      </w:r>
    </w:p>
    <w:p>
      <w:pPr>
        <w:pStyle w:val="Normal"/>
        <w:ind w:firstLine="539"/>
        <w:jc w:val="right"/>
        <w:rPr>
          <w:rFonts w:ascii="Times New Roman" w:hAnsi="Times New Roman" w:cs="Times New Roman"/>
          <w:sz w:val="24"/>
          <w:szCs w:val="24"/>
        </w:rPr>
      </w:pPr>
      <w:r>
        <w:rPr>
          <w:rFonts w:cs="Times New Roman" w:ascii="Times New Roman" w:hAnsi="Times New Roman"/>
          <w:sz w:val="24"/>
          <w:szCs w:val="24"/>
        </w:rPr>
        <w:t>к Постановлению</w:t>
      </w:r>
    </w:p>
    <w:p>
      <w:pPr>
        <w:pStyle w:val="Normal"/>
        <w:ind w:firstLine="539"/>
        <w:jc w:val="right"/>
        <w:rPr>
          <w:rFonts w:ascii="Times New Roman" w:hAnsi="Times New Roman" w:cs="Times New Roman"/>
          <w:sz w:val="24"/>
          <w:szCs w:val="24"/>
        </w:rPr>
      </w:pPr>
      <w:r>
        <w:rPr>
          <w:rFonts w:cs="Times New Roman" w:ascii="Times New Roman" w:hAnsi="Times New Roman"/>
          <w:sz w:val="24"/>
          <w:szCs w:val="24"/>
        </w:rPr>
        <w:t>администрации Дудовского сельсовета</w:t>
      </w:r>
    </w:p>
    <w:p>
      <w:pPr>
        <w:pStyle w:val="Normal"/>
        <w:ind w:firstLine="539"/>
        <w:jc w:val="right"/>
        <w:rPr>
          <w:rFonts w:ascii="Times New Roman" w:hAnsi="Times New Roman" w:cs="Times New Roman"/>
          <w:sz w:val="24"/>
          <w:szCs w:val="24"/>
        </w:rPr>
      </w:pPr>
      <w:r>
        <w:rPr>
          <w:rFonts w:cs="Times New Roman" w:ascii="Times New Roman" w:hAnsi="Times New Roman"/>
          <w:sz w:val="24"/>
          <w:szCs w:val="24"/>
        </w:rPr>
        <w:t>от 23  января 2024 г. № 9</w:t>
      </w:r>
    </w:p>
    <w:p>
      <w:pPr>
        <w:pStyle w:val="Normal"/>
        <w:ind w:firstLine="539"/>
        <w:rPr>
          <w:rFonts w:ascii="Times New Roman" w:hAnsi="Times New Roman" w:cs="Times New Roman"/>
          <w:sz w:val="24"/>
          <w:szCs w:val="24"/>
        </w:rPr>
      </w:pPr>
      <w:r>
        <w:rPr>
          <w:rFonts w:cs="Times New Roman" w:ascii="Times New Roman" w:hAnsi="Times New Roman"/>
          <w:sz w:val="24"/>
          <w:szCs w:val="24"/>
        </w:rPr>
      </w:r>
    </w:p>
    <w:p>
      <w:pPr>
        <w:pStyle w:val="Normal"/>
        <w:widowControl/>
        <w:ind w:hanging="0"/>
        <w:jc w:val="center"/>
        <w:rPr>
          <w:rFonts w:ascii="Times New Roman" w:hAnsi="Times New Roman" w:eastAsia="Times New Roman" w:cs="Times New Roman"/>
          <w:bCs/>
          <w:sz w:val="24"/>
          <w:szCs w:val="24"/>
          <w:lang w:eastAsia="ru-RU"/>
        </w:rPr>
      </w:pPr>
      <w:r>
        <w:rPr>
          <w:rFonts w:eastAsia="Times New Roman" w:cs="Times New Roman" w:ascii="Times New Roman" w:hAnsi="Times New Roman"/>
          <w:bCs/>
          <w:sz w:val="24"/>
          <w:szCs w:val="24"/>
          <w:lang w:eastAsia="ru-RU"/>
        </w:rPr>
        <w:t xml:space="preserve">Перечень </w:t>
      </w:r>
    </w:p>
    <w:p>
      <w:pPr>
        <w:pStyle w:val="Normal"/>
        <w:widowControl/>
        <w:ind w:hanging="0"/>
        <w:jc w:val="center"/>
        <w:rPr>
          <w:rFonts w:ascii="Times New Roman" w:hAnsi="Times New Roman" w:eastAsia="Times New Roman" w:cs="Times New Roman"/>
          <w:bCs/>
          <w:sz w:val="24"/>
          <w:szCs w:val="24"/>
          <w:lang w:eastAsia="ru-RU"/>
        </w:rPr>
      </w:pPr>
      <w:r>
        <w:rPr>
          <w:rFonts w:eastAsia="Times New Roman" w:cs="Times New Roman" w:ascii="Times New Roman" w:hAnsi="Times New Roman"/>
          <w:bCs/>
          <w:sz w:val="24"/>
          <w:szCs w:val="24"/>
          <w:lang w:eastAsia="ru-RU"/>
        </w:rPr>
        <w:t xml:space="preserve">принятых муниципальных правовых актов </w:t>
      </w:r>
    </w:p>
    <w:p>
      <w:pPr>
        <w:pStyle w:val="Normal"/>
        <w:widowControl/>
        <w:ind w:hanging="0"/>
        <w:jc w:val="center"/>
        <w:rPr>
          <w:rFonts w:ascii="Times New Roman" w:hAnsi="Times New Roman" w:eastAsia="Times New Roman" w:cs="Times New Roman"/>
          <w:bCs/>
          <w:sz w:val="24"/>
          <w:szCs w:val="24"/>
          <w:lang w:eastAsia="ru-RU"/>
        </w:rPr>
      </w:pPr>
      <w:r>
        <w:rPr>
          <w:rFonts w:eastAsia="Times New Roman" w:cs="Times New Roman" w:ascii="Times New Roman" w:hAnsi="Times New Roman"/>
          <w:bCs/>
          <w:sz w:val="24"/>
          <w:szCs w:val="24"/>
          <w:lang w:eastAsia="ru-RU"/>
        </w:rPr>
        <w:t>об установлении, изменении и прекращении действия налогов*</w:t>
      </w:r>
    </w:p>
    <w:p>
      <w:pPr>
        <w:pStyle w:val="Normal"/>
        <w:widowControl/>
        <w:ind w:hanging="0"/>
        <w:jc w:val="center"/>
        <w:rPr>
          <w:rFonts w:ascii="Times New Roman" w:hAnsi="Times New Roman" w:eastAsia="Times New Roman" w:cs="Times New Roman"/>
          <w:bCs/>
          <w:sz w:val="24"/>
          <w:szCs w:val="24"/>
          <w:lang w:eastAsia="ru-RU"/>
        </w:rPr>
      </w:pPr>
      <w:r>
        <w:rPr>
          <w:rFonts w:eastAsia="Times New Roman" w:cs="Times New Roman" w:ascii="Times New Roman" w:hAnsi="Times New Roman"/>
          <w:bCs/>
          <w:sz w:val="24"/>
          <w:szCs w:val="24"/>
          <w:lang w:eastAsia="ru-RU"/>
        </w:rPr>
        <w:t>за _______________</w:t>
      </w:r>
    </w:p>
    <w:p>
      <w:pPr>
        <w:pStyle w:val="Normal"/>
        <w:widowControl/>
        <w:ind w:hanging="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___________________________________________</w:t>
      </w:r>
    </w:p>
    <w:p>
      <w:pPr>
        <w:pStyle w:val="Normal"/>
        <w:widowControl/>
        <w:ind w:hanging="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(наименование  поселения)</w:t>
      </w:r>
    </w:p>
    <w:p>
      <w:pPr>
        <w:pStyle w:val="Normal"/>
        <w:widowControl/>
        <w:ind w:hanging="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p>
      <w:pPr>
        <w:pStyle w:val="Normal"/>
        <w:widowControl/>
        <w:ind w:hanging="0"/>
        <w:jc w:val="center"/>
        <w:rPr>
          <w:rFonts w:ascii="Times New Roman" w:hAnsi="Times New Roman" w:eastAsia="Times New Roman" w:cs="Times New Roman"/>
          <w:b/>
          <w:sz w:val="24"/>
          <w:szCs w:val="24"/>
          <w:lang w:eastAsia="ru-RU"/>
        </w:rPr>
      </w:pPr>
      <w:r>
        <w:rPr>
          <w:rFonts w:eastAsia="Times New Roman" w:cs="Times New Roman" w:ascii="Times New Roman" w:hAnsi="Times New Roman"/>
          <w:b/>
          <w:sz w:val="24"/>
          <w:szCs w:val="24"/>
          <w:lang w:eastAsia="ru-RU"/>
        </w:rPr>
      </w:r>
    </w:p>
    <w:tbl>
      <w:tblPr>
        <w:tblStyle w:val="a4"/>
        <w:tblW w:w="9513" w:type="dxa"/>
        <w:jc w:val="left"/>
        <w:tblInd w:w="113" w:type="dxa"/>
        <w:tblLayout w:type="fixed"/>
        <w:tblCellMar>
          <w:top w:w="0" w:type="dxa"/>
          <w:left w:w="108" w:type="dxa"/>
          <w:bottom w:w="0" w:type="dxa"/>
          <w:right w:w="108" w:type="dxa"/>
        </w:tblCellMar>
        <w:tblLook w:val="01e0"/>
      </w:tblPr>
      <w:tblGrid>
        <w:gridCol w:w="2103"/>
        <w:gridCol w:w="1823"/>
        <w:gridCol w:w="1856"/>
        <w:gridCol w:w="1907"/>
        <w:gridCol w:w="1824"/>
      </w:tblGrid>
      <w:tr>
        <w:trPr/>
        <w:tc>
          <w:tcPr>
            <w:tcW w:w="2103" w:type="dxa"/>
            <w:tcBorders/>
          </w:tcPr>
          <w:p>
            <w:pPr>
              <w:pStyle w:val="Normal"/>
              <w:widowControl/>
              <w:suppressAutoHyphens w:val="true"/>
              <w:spacing w:before="0" w:after="0"/>
              <w:ind w:hanging="0"/>
              <w:jc w:val="center"/>
              <w:rPr>
                <w:sz w:val="24"/>
                <w:szCs w:val="24"/>
              </w:rPr>
            </w:pPr>
            <w:r>
              <w:rPr>
                <w:rFonts w:eastAsia="Times New Roman" w:cs="Times New Roman" w:ascii="Times New Roman" w:hAnsi="Times New Roman"/>
                <w:kern w:val="0"/>
                <w:sz w:val="24"/>
                <w:szCs w:val="24"/>
                <w:lang w:val="ru-RU" w:eastAsia="ru-RU" w:bidi="ar-SA"/>
              </w:rPr>
              <w:t>Наименование доходного источника</w:t>
            </w:r>
          </w:p>
        </w:tc>
        <w:tc>
          <w:tcPr>
            <w:tcW w:w="1823" w:type="dxa"/>
            <w:tcBorders/>
          </w:tcPr>
          <w:p>
            <w:pPr>
              <w:pStyle w:val="Normal"/>
              <w:widowControl/>
              <w:suppressAutoHyphens w:val="true"/>
              <w:spacing w:before="0" w:after="0"/>
              <w:ind w:hanging="0"/>
              <w:jc w:val="center"/>
              <w:rPr>
                <w:sz w:val="24"/>
                <w:szCs w:val="24"/>
              </w:rPr>
            </w:pPr>
            <w:r>
              <w:rPr>
                <w:rFonts w:eastAsia="Times New Roman" w:cs="Times New Roman" w:ascii="Times New Roman" w:hAnsi="Times New Roman"/>
                <w:kern w:val="0"/>
                <w:sz w:val="24"/>
                <w:szCs w:val="24"/>
                <w:lang w:val="ru-RU" w:eastAsia="ru-RU" w:bidi="ar-SA"/>
              </w:rPr>
              <w:t>Номер и дата принятия нормативного правового акта</w:t>
            </w:r>
          </w:p>
        </w:tc>
        <w:tc>
          <w:tcPr>
            <w:tcW w:w="1856" w:type="dxa"/>
            <w:tcBorders/>
          </w:tcPr>
          <w:p>
            <w:pPr>
              <w:pStyle w:val="Normal"/>
              <w:widowControl/>
              <w:suppressAutoHyphens w:val="true"/>
              <w:spacing w:before="0" w:after="0"/>
              <w:ind w:hanging="0"/>
              <w:jc w:val="center"/>
              <w:rPr>
                <w:sz w:val="24"/>
                <w:szCs w:val="24"/>
              </w:rPr>
            </w:pPr>
            <w:r>
              <w:rPr>
                <w:rFonts w:eastAsia="Times New Roman" w:cs="Times New Roman" w:ascii="Times New Roman" w:hAnsi="Times New Roman"/>
                <w:kern w:val="0"/>
                <w:sz w:val="24"/>
                <w:szCs w:val="24"/>
                <w:lang w:val="ru-RU" w:eastAsia="ru-RU" w:bidi="ar-SA"/>
              </w:rPr>
              <w:t>Наименование принятого нормативного правового акта</w:t>
            </w:r>
          </w:p>
        </w:tc>
        <w:tc>
          <w:tcPr>
            <w:tcW w:w="1907" w:type="dxa"/>
            <w:tcBorders/>
          </w:tcPr>
          <w:p>
            <w:pPr>
              <w:pStyle w:val="Normal"/>
              <w:widowControl/>
              <w:suppressAutoHyphens w:val="true"/>
              <w:spacing w:before="0" w:after="0"/>
              <w:ind w:hanging="0"/>
              <w:jc w:val="center"/>
              <w:rPr>
                <w:sz w:val="24"/>
                <w:szCs w:val="24"/>
              </w:rPr>
            </w:pPr>
            <w:r>
              <w:rPr>
                <w:rFonts w:eastAsia="Times New Roman" w:cs="Times New Roman" w:ascii="Times New Roman" w:hAnsi="Times New Roman"/>
                <w:kern w:val="0"/>
                <w:sz w:val="24"/>
                <w:szCs w:val="24"/>
                <w:lang w:val="ru-RU" w:eastAsia="ru-RU" w:bidi="ar-SA"/>
              </w:rPr>
              <w:t>Наименование органа, принявшего решение</w:t>
            </w:r>
          </w:p>
        </w:tc>
        <w:tc>
          <w:tcPr>
            <w:tcW w:w="1824" w:type="dxa"/>
            <w:tcBorders/>
          </w:tcPr>
          <w:p>
            <w:pPr>
              <w:pStyle w:val="Normal"/>
              <w:widowControl/>
              <w:suppressAutoHyphens w:val="true"/>
              <w:spacing w:before="0" w:after="0"/>
              <w:ind w:hanging="0"/>
              <w:jc w:val="center"/>
              <w:rPr>
                <w:sz w:val="24"/>
                <w:szCs w:val="24"/>
              </w:rPr>
            </w:pPr>
            <w:r>
              <w:rPr>
                <w:rFonts w:eastAsia="Times New Roman" w:cs="Times New Roman" w:ascii="Times New Roman" w:hAnsi="Times New Roman"/>
                <w:kern w:val="0"/>
                <w:sz w:val="24"/>
                <w:szCs w:val="24"/>
                <w:lang w:val="ru-RU" w:eastAsia="ru-RU" w:bidi="ar-SA"/>
              </w:rPr>
              <w:t>Дата опубликования решения</w:t>
            </w:r>
          </w:p>
        </w:tc>
      </w:tr>
      <w:tr>
        <w:trPr/>
        <w:tc>
          <w:tcPr>
            <w:tcW w:w="2103" w:type="dxa"/>
            <w:tcBorders/>
          </w:tcPr>
          <w:p>
            <w:pPr>
              <w:pStyle w:val="Normal"/>
              <w:widowControl/>
              <w:suppressAutoHyphens w:val="true"/>
              <w:spacing w:before="0" w:after="0"/>
              <w:ind w:hanging="0"/>
              <w:jc w:val="center"/>
              <w:rPr>
                <w:sz w:val="24"/>
                <w:szCs w:val="24"/>
              </w:rPr>
            </w:pPr>
            <w:r>
              <w:rPr>
                <w:rFonts w:eastAsia="Times New Roman" w:cs="Times New Roman" w:ascii="Times New Roman" w:hAnsi="Times New Roman"/>
                <w:kern w:val="0"/>
                <w:sz w:val="24"/>
                <w:szCs w:val="24"/>
                <w:lang w:val="ru-RU" w:eastAsia="ru-RU" w:bidi="ar-SA"/>
              </w:rPr>
              <w:t>1</w:t>
            </w:r>
          </w:p>
        </w:tc>
        <w:tc>
          <w:tcPr>
            <w:tcW w:w="1823" w:type="dxa"/>
            <w:tcBorders/>
          </w:tcPr>
          <w:p>
            <w:pPr>
              <w:pStyle w:val="Normal"/>
              <w:widowControl/>
              <w:suppressAutoHyphens w:val="true"/>
              <w:spacing w:before="0" w:after="0"/>
              <w:ind w:hanging="0"/>
              <w:jc w:val="center"/>
              <w:rPr>
                <w:sz w:val="24"/>
                <w:szCs w:val="24"/>
              </w:rPr>
            </w:pPr>
            <w:r>
              <w:rPr>
                <w:rFonts w:eastAsia="Times New Roman" w:cs="Times New Roman" w:ascii="Times New Roman" w:hAnsi="Times New Roman"/>
                <w:kern w:val="0"/>
                <w:sz w:val="24"/>
                <w:szCs w:val="24"/>
                <w:lang w:val="ru-RU" w:eastAsia="ru-RU" w:bidi="ar-SA"/>
              </w:rPr>
              <w:t>2</w:t>
            </w:r>
          </w:p>
        </w:tc>
        <w:tc>
          <w:tcPr>
            <w:tcW w:w="1856" w:type="dxa"/>
            <w:tcBorders/>
          </w:tcPr>
          <w:p>
            <w:pPr>
              <w:pStyle w:val="Normal"/>
              <w:widowControl/>
              <w:suppressAutoHyphens w:val="true"/>
              <w:spacing w:before="0" w:after="0"/>
              <w:ind w:hanging="0"/>
              <w:jc w:val="center"/>
              <w:rPr>
                <w:sz w:val="24"/>
                <w:szCs w:val="24"/>
              </w:rPr>
            </w:pPr>
            <w:r>
              <w:rPr>
                <w:rFonts w:eastAsia="Times New Roman" w:cs="Times New Roman" w:ascii="Times New Roman" w:hAnsi="Times New Roman"/>
                <w:kern w:val="0"/>
                <w:sz w:val="24"/>
                <w:szCs w:val="24"/>
                <w:lang w:val="ru-RU" w:eastAsia="ru-RU" w:bidi="ar-SA"/>
              </w:rPr>
              <w:t>3</w:t>
            </w:r>
          </w:p>
        </w:tc>
        <w:tc>
          <w:tcPr>
            <w:tcW w:w="1907" w:type="dxa"/>
            <w:tcBorders/>
          </w:tcPr>
          <w:p>
            <w:pPr>
              <w:pStyle w:val="Normal"/>
              <w:widowControl/>
              <w:suppressAutoHyphens w:val="true"/>
              <w:spacing w:before="0" w:after="0"/>
              <w:ind w:hanging="0"/>
              <w:jc w:val="center"/>
              <w:rPr>
                <w:sz w:val="24"/>
                <w:szCs w:val="24"/>
              </w:rPr>
            </w:pPr>
            <w:r>
              <w:rPr>
                <w:rFonts w:eastAsia="Times New Roman" w:cs="Times New Roman" w:ascii="Times New Roman" w:hAnsi="Times New Roman"/>
                <w:kern w:val="0"/>
                <w:sz w:val="24"/>
                <w:szCs w:val="24"/>
                <w:lang w:val="ru-RU" w:eastAsia="ru-RU" w:bidi="ar-SA"/>
              </w:rPr>
              <w:t>4</w:t>
            </w:r>
          </w:p>
        </w:tc>
        <w:tc>
          <w:tcPr>
            <w:tcW w:w="1824" w:type="dxa"/>
            <w:tcBorders/>
          </w:tcPr>
          <w:p>
            <w:pPr>
              <w:pStyle w:val="Normal"/>
              <w:widowControl/>
              <w:suppressAutoHyphens w:val="true"/>
              <w:spacing w:before="0" w:after="0"/>
              <w:ind w:hanging="0"/>
              <w:jc w:val="center"/>
              <w:rPr>
                <w:sz w:val="24"/>
                <w:szCs w:val="24"/>
              </w:rPr>
            </w:pPr>
            <w:r>
              <w:rPr>
                <w:rFonts w:eastAsia="Times New Roman" w:cs="Times New Roman" w:ascii="Times New Roman" w:hAnsi="Times New Roman"/>
                <w:kern w:val="0"/>
                <w:sz w:val="24"/>
                <w:szCs w:val="24"/>
                <w:lang w:val="ru-RU" w:eastAsia="ru-RU" w:bidi="ar-SA"/>
              </w:rPr>
              <w:t>5</w:t>
            </w:r>
          </w:p>
        </w:tc>
      </w:tr>
      <w:tr>
        <w:trPr/>
        <w:tc>
          <w:tcPr>
            <w:tcW w:w="2103" w:type="dxa"/>
            <w:vMerge w:val="restart"/>
            <w:tcBorders/>
          </w:tcPr>
          <w:p>
            <w:pPr>
              <w:pStyle w:val="Normal"/>
              <w:widowControl/>
              <w:suppressAutoHyphens w:val="true"/>
              <w:spacing w:before="0" w:after="0"/>
              <w:ind w:hanging="0"/>
              <w:jc w:val="left"/>
              <w:rPr>
                <w:sz w:val="24"/>
                <w:szCs w:val="24"/>
              </w:rPr>
            </w:pPr>
            <w:r>
              <w:rPr>
                <w:rFonts w:eastAsia="Times New Roman" w:cs="Times New Roman" w:ascii="Times New Roman" w:hAnsi="Times New Roman"/>
                <w:kern w:val="0"/>
                <w:sz w:val="24"/>
                <w:szCs w:val="24"/>
                <w:lang w:val="ru-RU" w:eastAsia="ru-RU" w:bidi="ar-SA"/>
              </w:rPr>
              <w:t>Земельный налог</w:t>
            </w:r>
          </w:p>
        </w:tc>
        <w:tc>
          <w:tcPr>
            <w:tcW w:w="1823" w:type="dxa"/>
            <w:tcBorders/>
          </w:tcPr>
          <w:p>
            <w:pPr>
              <w:pStyle w:val="Normal"/>
              <w:widowControl/>
              <w:suppressAutoHyphens w:val="true"/>
              <w:spacing w:before="0" w:after="0"/>
              <w:ind w:hanging="0"/>
              <w:jc w:val="left"/>
              <w:rPr>
                <w:sz w:val="24"/>
                <w:szCs w:val="24"/>
              </w:rPr>
            </w:pPr>
            <w:r>
              <w:rPr>
                <w:sz w:val="24"/>
                <w:szCs w:val="24"/>
              </w:rPr>
            </w:r>
          </w:p>
        </w:tc>
        <w:tc>
          <w:tcPr>
            <w:tcW w:w="1856" w:type="dxa"/>
            <w:tcBorders/>
          </w:tcPr>
          <w:p>
            <w:pPr>
              <w:pStyle w:val="Normal"/>
              <w:widowControl/>
              <w:suppressAutoHyphens w:val="true"/>
              <w:spacing w:before="0" w:after="0"/>
              <w:ind w:hanging="0"/>
              <w:jc w:val="left"/>
              <w:rPr>
                <w:sz w:val="24"/>
                <w:szCs w:val="24"/>
              </w:rPr>
            </w:pPr>
            <w:r>
              <w:rPr>
                <w:sz w:val="24"/>
                <w:szCs w:val="24"/>
              </w:rPr>
            </w:r>
          </w:p>
        </w:tc>
        <w:tc>
          <w:tcPr>
            <w:tcW w:w="1907" w:type="dxa"/>
            <w:tcBorders/>
          </w:tcPr>
          <w:p>
            <w:pPr>
              <w:pStyle w:val="Normal"/>
              <w:widowControl/>
              <w:suppressAutoHyphens w:val="true"/>
              <w:spacing w:before="0" w:after="0"/>
              <w:ind w:hanging="0"/>
              <w:jc w:val="left"/>
              <w:rPr>
                <w:sz w:val="24"/>
                <w:szCs w:val="24"/>
              </w:rPr>
            </w:pPr>
            <w:r>
              <w:rPr>
                <w:sz w:val="24"/>
                <w:szCs w:val="24"/>
              </w:rPr>
            </w:r>
          </w:p>
        </w:tc>
        <w:tc>
          <w:tcPr>
            <w:tcW w:w="1824" w:type="dxa"/>
            <w:tcBorders/>
          </w:tcPr>
          <w:p>
            <w:pPr>
              <w:pStyle w:val="Normal"/>
              <w:widowControl/>
              <w:suppressAutoHyphens w:val="true"/>
              <w:spacing w:before="0" w:after="0"/>
              <w:ind w:hanging="0"/>
              <w:jc w:val="left"/>
              <w:rPr>
                <w:sz w:val="24"/>
                <w:szCs w:val="24"/>
              </w:rPr>
            </w:pPr>
            <w:r>
              <w:rPr>
                <w:sz w:val="24"/>
                <w:szCs w:val="24"/>
              </w:rPr>
            </w:r>
          </w:p>
        </w:tc>
      </w:tr>
      <w:tr>
        <w:trPr/>
        <w:tc>
          <w:tcPr>
            <w:tcW w:w="2103" w:type="dxa"/>
            <w:vMerge w:val="continue"/>
            <w:tcBorders/>
          </w:tcPr>
          <w:p>
            <w:pPr>
              <w:pStyle w:val="Normal"/>
              <w:widowControl/>
              <w:suppressAutoHyphens w:val="true"/>
              <w:spacing w:before="0" w:after="0"/>
              <w:ind w:hanging="0"/>
              <w:jc w:val="left"/>
              <w:rPr>
                <w:sz w:val="24"/>
                <w:szCs w:val="24"/>
              </w:rPr>
            </w:pPr>
            <w:r>
              <w:rPr>
                <w:sz w:val="24"/>
                <w:szCs w:val="24"/>
              </w:rPr>
            </w:r>
          </w:p>
        </w:tc>
        <w:tc>
          <w:tcPr>
            <w:tcW w:w="1823" w:type="dxa"/>
            <w:tcBorders/>
          </w:tcPr>
          <w:p>
            <w:pPr>
              <w:pStyle w:val="Normal"/>
              <w:widowControl/>
              <w:suppressAutoHyphens w:val="true"/>
              <w:spacing w:before="0" w:after="0"/>
              <w:ind w:hanging="0"/>
              <w:jc w:val="left"/>
              <w:rPr>
                <w:sz w:val="24"/>
                <w:szCs w:val="24"/>
              </w:rPr>
            </w:pPr>
            <w:r>
              <w:rPr>
                <w:sz w:val="24"/>
                <w:szCs w:val="24"/>
              </w:rPr>
            </w:r>
          </w:p>
        </w:tc>
        <w:tc>
          <w:tcPr>
            <w:tcW w:w="1856" w:type="dxa"/>
            <w:tcBorders/>
          </w:tcPr>
          <w:p>
            <w:pPr>
              <w:pStyle w:val="Normal"/>
              <w:widowControl/>
              <w:suppressAutoHyphens w:val="true"/>
              <w:spacing w:before="0" w:after="0"/>
              <w:ind w:hanging="0"/>
              <w:jc w:val="left"/>
              <w:rPr>
                <w:sz w:val="24"/>
                <w:szCs w:val="24"/>
              </w:rPr>
            </w:pPr>
            <w:r>
              <w:rPr>
                <w:sz w:val="24"/>
                <w:szCs w:val="24"/>
              </w:rPr>
            </w:r>
          </w:p>
        </w:tc>
        <w:tc>
          <w:tcPr>
            <w:tcW w:w="1907" w:type="dxa"/>
            <w:tcBorders/>
          </w:tcPr>
          <w:p>
            <w:pPr>
              <w:pStyle w:val="Normal"/>
              <w:widowControl/>
              <w:suppressAutoHyphens w:val="true"/>
              <w:spacing w:before="0" w:after="0"/>
              <w:ind w:hanging="0"/>
              <w:jc w:val="left"/>
              <w:rPr>
                <w:sz w:val="24"/>
                <w:szCs w:val="24"/>
              </w:rPr>
            </w:pPr>
            <w:r>
              <w:rPr>
                <w:sz w:val="24"/>
                <w:szCs w:val="24"/>
              </w:rPr>
            </w:r>
          </w:p>
        </w:tc>
        <w:tc>
          <w:tcPr>
            <w:tcW w:w="1824" w:type="dxa"/>
            <w:tcBorders/>
          </w:tcPr>
          <w:p>
            <w:pPr>
              <w:pStyle w:val="Normal"/>
              <w:widowControl/>
              <w:suppressAutoHyphens w:val="true"/>
              <w:spacing w:before="0" w:after="0"/>
              <w:ind w:hanging="0"/>
              <w:jc w:val="left"/>
              <w:rPr>
                <w:sz w:val="24"/>
                <w:szCs w:val="24"/>
              </w:rPr>
            </w:pPr>
            <w:r>
              <w:rPr>
                <w:sz w:val="24"/>
                <w:szCs w:val="24"/>
              </w:rPr>
            </w:r>
          </w:p>
        </w:tc>
      </w:tr>
      <w:tr>
        <w:trPr/>
        <w:tc>
          <w:tcPr>
            <w:tcW w:w="2103" w:type="dxa"/>
            <w:vMerge w:val="continue"/>
            <w:tcBorders/>
          </w:tcPr>
          <w:p>
            <w:pPr>
              <w:pStyle w:val="Normal"/>
              <w:widowControl/>
              <w:suppressAutoHyphens w:val="true"/>
              <w:spacing w:before="0" w:after="0"/>
              <w:ind w:hanging="0"/>
              <w:jc w:val="left"/>
              <w:rPr>
                <w:sz w:val="24"/>
                <w:szCs w:val="24"/>
              </w:rPr>
            </w:pPr>
            <w:r>
              <w:rPr>
                <w:sz w:val="24"/>
                <w:szCs w:val="24"/>
              </w:rPr>
            </w:r>
          </w:p>
        </w:tc>
        <w:tc>
          <w:tcPr>
            <w:tcW w:w="1823" w:type="dxa"/>
            <w:tcBorders/>
          </w:tcPr>
          <w:p>
            <w:pPr>
              <w:pStyle w:val="Normal"/>
              <w:widowControl/>
              <w:suppressAutoHyphens w:val="true"/>
              <w:spacing w:before="0" w:after="0"/>
              <w:ind w:hanging="0"/>
              <w:jc w:val="left"/>
              <w:rPr>
                <w:sz w:val="24"/>
                <w:szCs w:val="24"/>
              </w:rPr>
            </w:pPr>
            <w:r>
              <w:rPr>
                <w:sz w:val="24"/>
                <w:szCs w:val="24"/>
              </w:rPr>
            </w:r>
          </w:p>
        </w:tc>
        <w:tc>
          <w:tcPr>
            <w:tcW w:w="1856" w:type="dxa"/>
            <w:tcBorders/>
          </w:tcPr>
          <w:p>
            <w:pPr>
              <w:pStyle w:val="Normal"/>
              <w:widowControl/>
              <w:suppressAutoHyphens w:val="true"/>
              <w:spacing w:before="0" w:after="0"/>
              <w:ind w:hanging="0"/>
              <w:jc w:val="left"/>
              <w:rPr>
                <w:sz w:val="24"/>
                <w:szCs w:val="24"/>
              </w:rPr>
            </w:pPr>
            <w:r>
              <w:rPr>
                <w:sz w:val="24"/>
                <w:szCs w:val="24"/>
              </w:rPr>
            </w:r>
          </w:p>
        </w:tc>
        <w:tc>
          <w:tcPr>
            <w:tcW w:w="1907" w:type="dxa"/>
            <w:tcBorders/>
          </w:tcPr>
          <w:p>
            <w:pPr>
              <w:pStyle w:val="Normal"/>
              <w:widowControl/>
              <w:suppressAutoHyphens w:val="true"/>
              <w:spacing w:before="0" w:after="0"/>
              <w:ind w:hanging="0"/>
              <w:jc w:val="left"/>
              <w:rPr>
                <w:sz w:val="24"/>
                <w:szCs w:val="24"/>
              </w:rPr>
            </w:pPr>
            <w:r>
              <w:rPr>
                <w:sz w:val="24"/>
                <w:szCs w:val="24"/>
              </w:rPr>
            </w:r>
          </w:p>
        </w:tc>
        <w:tc>
          <w:tcPr>
            <w:tcW w:w="1824" w:type="dxa"/>
            <w:tcBorders/>
          </w:tcPr>
          <w:p>
            <w:pPr>
              <w:pStyle w:val="Normal"/>
              <w:widowControl/>
              <w:suppressAutoHyphens w:val="true"/>
              <w:spacing w:before="0" w:after="0"/>
              <w:ind w:hanging="0"/>
              <w:jc w:val="left"/>
              <w:rPr>
                <w:sz w:val="24"/>
                <w:szCs w:val="24"/>
              </w:rPr>
            </w:pPr>
            <w:r>
              <w:rPr>
                <w:sz w:val="24"/>
                <w:szCs w:val="24"/>
              </w:rPr>
            </w:r>
          </w:p>
        </w:tc>
      </w:tr>
      <w:tr>
        <w:trPr/>
        <w:tc>
          <w:tcPr>
            <w:tcW w:w="2103" w:type="dxa"/>
            <w:vMerge w:val="restart"/>
            <w:tcBorders/>
          </w:tcPr>
          <w:p>
            <w:pPr>
              <w:pStyle w:val="Normal"/>
              <w:widowControl/>
              <w:suppressAutoHyphens w:val="true"/>
              <w:spacing w:before="0" w:after="0"/>
              <w:ind w:hanging="0"/>
              <w:jc w:val="left"/>
              <w:rPr>
                <w:sz w:val="24"/>
                <w:szCs w:val="24"/>
              </w:rPr>
            </w:pPr>
            <w:r>
              <w:rPr>
                <w:rFonts w:eastAsia="Times New Roman" w:cs="Times New Roman" w:ascii="Times New Roman" w:hAnsi="Times New Roman"/>
                <w:kern w:val="0"/>
                <w:sz w:val="24"/>
                <w:szCs w:val="24"/>
                <w:lang w:val="ru-RU" w:eastAsia="ru-RU" w:bidi="ar-SA"/>
              </w:rPr>
              <w:t>Налог на имущество физических лиц</w:t>
            </w:r>
          </w:p>
        </w:tc>
        <w:tc>
          <w:tcPr>
            <w:tcW w:w="1823" w:type="dxa"/>
            <w:tcBorders/>
          </w:tcPr>
          <w:p>
            <w:pPr>
              <w:pStyle w:val="Normal"/>
              <w:widowControl/>
              <w:suppressAutoHyphens w:val="true"/>
              <w:spacing w:before="0" w:after="0"/>
              <w:ind w:hanging="0"/>
              <w:jc w:val="left"/>
              <w:rPr>
                <w:sz w:val="24"/>
                <w:szCs w:val="24"/>
              </w:rPr>
            </w:pPr>
            <w:r>
              <w:rPr>
                <w:sz w:val="24"/>
                <w:szCs w:val="24"/>
              </w:rPr>
            </w:r>
          </w:p>
        </w:tc>
        <w:tc>
          <w:tcPr>
            <w:tcW w:w="1856" w:type="dxa"/>
            <w:tcBorders/>
          </w:tcPr>
          <w:p>
            <w:pPr>
              <w:pStyle w:val="Normal"/>
              <w:widowControl/>
              <w:suppressAutoHyphens w:val="true"/>
              <w:spacing w:before="0" w:after="0"/>
              <w:ind w:hanging="0"/>
              <w:jc w:val="left"/>
              <w:rPr>
                <w:sz w:val="24"/>
                <w:szCs w:val="24"/>
              </w:rPr>
            </w:pPr>
            <w:r>
              <w:rPr>
                <w:sz w:val="24"/>
                <w:szCs w:val="24"/>
              </w:rPr>
            </w:r>
          </w:p>
        </w:tc>
        <w:tc>
          <w:tcPr>
            <w:tcW w:w="1907" w:type="dxa"/>
            <w:tcBorders/>
          </w:tcPr>
          <w:p>
            <w:pPr>
              <w:pStyle w:val="Normal"/>
              <w:widowControl/>
              <w:suppressAutoHyphens w:val="true"/>
              <w:spacing w:before="0" w:after="0"/>
              <w:ind w:hanging="0"/>
              <w:jc w:val="left"/>
              <w:rPr>
                <w:sz w:val="24"/>
                <w:szCs w:val="24"/>
              </w:rPr>
            </w:pPr>
            <w:r>
              <w:rPr>
                <w:sz w:val="24"/>
                <w:szCs w:val="24"/>
              </w:rPr>
            </w:r>
          </w:p>
        </w:tc>
        <w:tc>
          <w:tcPr>
            <w:tcW w:w="1824" w:type="dxa"/>
            <w:tcBorders/>
          </w:tcPr>
          <w:p>
            <w:pPr>
              <w:pStyle w:val="Normal"/>
              <w:widowControl/>
              <w:suppressAutoHyphens w:val="true"/>
              <w:spacing w:before="0" w:after="0"/>
              <w:ind w:hanging="0"/>
              <w:jc w:val="left"/>
              <w:rPr>
                <w:sz w:val="24"/>
                <w:szCs w:val="24"/>
              </w:rPr>
            </w:pPr>
            <w:r>
              <w:rPr>
                <w:sz w:val="24"/>
                <w:szCs w:val="24"/>
              </w:rPr>
            </w:r>
          </w:p>
        </w:tc>
      </w:tr>
      <w:tr>
        <w:trPr/>
        <w:tc>
          <w:tcPr>
            <w:tcW w:w="2103" w:type="dxa"/>
            <w:vMerge w:val="continue"/>
            <w:tcBorders/>
          </w:tcPr>
          <w:p>
            <w:pPr>
              <w:pStyle w:val="Normal"/>
              <w:widowControl/>
              <w:suppressAutoHyphens w:val="true"/>
              <w:spacing w:before="0" w:after="0"/>
              <w:ind w:hanging="0"/>
              <w:jc w:val="left"/>
              <w:rPr>
                <w:sz w:val="24"/>
                <w:szCs w:val="24"/>
              </w:rPr>
            </w:pPr>
            <w:r>
              <w:rPr>
                <w:sz w:val="24"/>
                <w:szCs w:val="24"/>
              </w:rPr>
            </w:r>
          </w:p>
        </w:tc>
        <w:tc>
          <w:tcPr>
            <w:tcW w:w="1823" w:type="dxa"/>
            <w:tcBorders/>
          </w:tcPr>
          <w:p>
            <w:pPr>
              <w:pStyle w:val="Normal"/>
              <w:widowControl/>
              <w:suppressAutoHyphens w:val="true"/>
              <w:spacing w:before="0" w:after="0"/>
              <w:ind w:hanging="0"/>
              <w:jc w:val="left"/>
              <w:rPr>
                <w:sz w:val="24"/>
                <w:szCs w:val="24"/>
              </w:rPr>
            </w:pPr>
            <w:r>
              <w:rPr>
                <w:sz w:val="24"/>
                <w:szCs w:val="24"/>
              </w:rPr>
            </w:r>
          </w:p>
        </w:tc>
        <w:tc>
          <w:tcPr>
            <w:tcW w:w="1856" w:type="dxa"/>
            <w:tcBorders/>
          </w:tcPr>
          <w:p>
            <w:pPr>
              <w:pStyle w:val="Normal"/>
              <w:widowControl/>
              <w:suppressAutoHyphens w:val="true"/>
              <w:spacing w:before="0" w:after="0"/>
              <w:ind w:hanging="0"/>
              <w:jc w:val="left"/>
              <w:rPr>
                <w:sz w:val="24"/>
                <w:szCs w:val="24"/>
              </w:rPr>
            </w:pPr>
            <w:r>
              <w:rPr>
                <w:sz w:val="24"/>
                <w:szCs w:val="24"/>
              </w:rPr>
            </w:r>
          </w:p>
        </w:tc>
        <w:tc>
          <w:tcPr>
            <w:tcW w:w="1907" w:type="dxa"/>
            <w:tcBorders/>
          </w:tcPr>
          <w:p>
            <w:pPr>
              <w:pStyle w:val="Normal"/>
              <w:widowControl/>
              <w:suppressAutoHyphens w:val="true"/>
              <w:spacing w:before="0" w:after="0"/>
              <w:ind w:hanging="0"/>
              <w:jc w:val="left"/>
              <w:rPr>
                <w:sz w:val="24"/>
                <w:szCs w:val="24"/>
              </w:rPr>
            </w:pPr>
            <w:r>
              <w:rPr>
                <w:sz w:val="24"/>
                <w:szCs w:val="24"/>
              </w:rPr>
            </w:r>
          </w:p>
        </w:tc>
        <w:tc>
          <w:tcPr>
            <w:tcW w:w="1824" w:type="dxa"/>
            <w:tcBorders/>
          </w:tcPr>
          <w:p>
            <w:pPr>
              <w:pStyle w:val="Normal"/>
              <w:widowControl/>
              <w:suppressAutoHyphens w:val="true"/>
              <w:spacing w:before="0" w:after="0"/>
              <w:ind w:hanging="0"/>
              <w:jc w:val="left"/>
              <w:rPr>
                <w:sz w:val="24"/>
                <w:szCs w:val="24"/>
              </w:rPr>
            </w:pPr>
            <w:r>
              <w:rPr>
                <w:sz w:val="24"/>
                <w:szCs w:val="24"/>
              </w:rPr>
            </w:r>
          </w:p>
        </w:tc>
      </w:tr>
      <w:tr>
        <w:trPr/>
        <w:tc>
          <w:tcPr>
            <w:tcW w:w="2103" w:type="dxa"/>
            <w:vMerge w:val="continue"/>
            <w:tcBorders/>
          </w:tcPr>
          <w:p>
            <w:pPr>
              <w:pStyle w:val="Normal"/>
              <w:widowControl/>
              <w:suppressAutoHyphens w:val="true"/>
              <w:spacing w:before="0" w:after="0"/>
              <w:ind w:hanging="0"/>
              <w:jc w:val="left"/>
              <w:rPr>
                <w:sz w:val="24"/>
                <w:szCs w:val="24"/>
              </w:rPr>
            </w:pPr>
            <w:r>
              <w:rPr>
                <w:sz w:val="24"/>
                <w:szCs w:val="24"/>
              </w:rPr>
            </w:r>
          </w:p>
        </w:tc>
        <w:tc>
          <w:tcPr>
            <w:tcW w:w="1823" w:type="dxa"/>
            <w:tcBorders/>
          </w:tcPr>
          <w:p>
            <w:pPr>
              <w:pStyle w:val="Normal"/>
              <w:widowControl/>
              <w:suppressAutoHyphens w:val="true"/>
              <w:spacing w:before="0" w:after="0"/>
              <w:ind w:hanging="0"/>
              <w:jc w:val="left"/>
              <w:rPr>
                <w:sz w:val="24"/>
                <w:szCs w:val="24"/>
              </w:rPr>
            </w:pPr>
            <w:r>
              <w:rPr>
                <w:sz w:val="24"/>
                <w:szCs w:val="24"/>
              </w:rPr>
            </w:r>
          </w:p>
        </w:tc>
        <w:tc>
          <w:tcPr>
            <w:tcW w:w="1856" w:type="dxa"/>
            <w:tcBorders/>
          </w:tcPr>
          <w:p>
            <w:pPr>
              <w:pStyle w:val="Normal"/>
              <w:widowControl/>
              <w:suppressAutoHyphens w:val="true"/>
              <w:spacing w:before="0" w:after="0"/>
              <w:ind w:hanging="0"/>
              <w:jc w:val="left"/>
              <w:rPr>
                <w:sz w:val="24"/>
                <w:szCs w:val="24"/>
              </w:rPr>
            </w:pPr>
            <w:r>
              <w:rPr>
                <w:sz w:val="24"/>
                <w:szCs w:val="24"/>
              </w:rPr>
            </w:r>
          </w:p>
        </w:tc>
        <w:tc>
          <w:tcPr>
            <w:tcW w:w="1907" w:type="dxa"/>
            <w:tcBorders/>
          </w:tcPr>
          <w:p>
            <w:pPr>
              <w:pStyle w:val="Normal"/>
              <w:widowControl/>
              <w:suppressAutoHyphens w:val="true"/>
              <w:spacing w:before="0" w:after="0"/>
              <w:ind w:hanging="0"/>
              <w:jc w:val="left"/>
              <w:rPr>
                <w:sz w:val="24"/>
                <w:szCs w:val="24"/>
              </w:rPr>
            </w:pPr>
            <w:r>
              <w:rPr>
                <w:sz w:val="24"/>
                <w:szCs w:val="24"/>
              </w:rPr>
            </w:r>
          </w:p>
        </w:tc>
        <w:tc>
          <w:tcPr>
            <w:tcW w:w="1824" w:type="dxa"/>
            <w:tcBorders/>
          </w:tcPr>
          <w:p>
            <w:pPr>
              <w:pStyle w:val="Normal"/>
              <w:widowControl/>
              <w:suppressAutoHyphens w:val="true"/>
              <w:spacing w:before="0" w:after="0"/>
              <w:ind w:hanging="0"/>
              <w:jc w:val="left"/>
              <w:rPr>
                <w:sz w:val="24"/>
                <w:szCs w:val="24"/>
              </w:rPr>
            </w:pPr>
            <w:r>
              <w:rPr>
                <w:sz w:val="24"/>
                <w:szCs w:val="24"/>
              </w:rPr>
            </w:r>
          </w:p>
        </w:tc>
      </w:tr>
    </w:tbl>
    <w:p>
      <w:pPr>
        <w:pStyle w:val="Normal"/>
        <w:widowControl/>
        <w:ind w:hanging="0"/>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p>
      <w:pPr>
        <w:pStyle w:val="Normal"/>
        <w:widowControl/>
        <w:ind w:hanging="0"/>
        <w:jc w:val="left"/>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p>
      <w:pPr>
        <w:pStyle w:val="Normal"/>
        <w:widowControl/>
        <w:ind w:hanging="0"/>
        <w:jc w:val="left"/>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Глава Дудовского сельсовета                    ____________    ____________________________</w:t>
      </w:r>
    </w:p>
    <w:p>
      <w:pPr>
        <w:pStyle w:val="Normal"/>
        <w:widowControl/>
        <w:ind w:hanging="0"/>
        <w:jc w:val="left"/>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                                                                   </w:t>
      </w:r>
      <w:r>
        <w:rPr>
          <w:rFonts w:eastAsia="Times New Roman" w:cs="Times New Roman" w:ascii="Times New Roman" w:hAnsi="Times New Roman"/>
          <w:sz w:val="24"/>
          <w:szCs w:val="24"/>
          <w:lang w:eastAsia="ru-RU"/>
        </w:rPr>
        <w:t>(подпись)                             (Ф.И.О.)</w:t>
        <w:tab/>
      </w:r>
    </w:p>
    <w:p>
      <w:pPr>
        <w:pStyle w:val="Normal"/>
        <w:widowControl/>
        <w:ind w:hanging="0"/>
        <w:jc w:val="left"/>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ab/>
        <w:t xml:space="preserve">                </w:t>
      </w:r>
    </w:p>
    <w:p>
      <w:pPr>
        <w:pStyle w:val="Normal"/>
        <w:widowControl/>
        <w:ind w:hanging="0"/>
        <w:jc w:val="left"/>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Исполнитель, тел.</w:t>
      </w:r>
    </w:p>
    <w:p>
      <w:pPr>
        <w:pStyle w:val="Normal"/>
        <w:ind w:firstLine="539"/>
        <w:rPr>
          <w:rFonts w:ascii="Times New Roman" w:hAnsi="Times New Roman" w:cs="Times New Roman"/>
          <w:sz w:val="24"/>
          <w:szCs w:val="24"/>
        </w:rPr>
      </w:pPr>
      <w:r>
        <w:rPr>
          <w:rFonts w:cs="Times New Roman" w:ascii="Times New Roman" w:hAnsi="Times New Roman"/>
          <w:sz w:val="24"/>
          <w:szCs w:val="24"/>
        </w:rPr>
      </w:r>
    </w:p>
    <w:p>
      <w:pPr>
        <w:pStyle w:val="Normal"/>
        <w:ind w:firstLine="539"/>
        <w:rPr>
          <w:rFonts w:ascii="Times New Roman" w:hAnsi="Times New Roman" w:cs="Times New Roman"/>
          <w:sz w:val="20"/>
          <w:szCs w:val="20"/>
        </w:rPr>
      </w:pPr>
      <w:r>
        <w:rPr>
          <w:rFonts w:cs="Times New Roman" w:ascii="Times New Roman" w:hAnsi="Times New Roman"/>
          <w:sz w:val="20"/>
          <w:szCs w:val="20"/>
        </w:rPr>
        <w:t xml:space="preserve">Перечень с указанием муниципальных правовых актов, принятых за полугодие и за 2024 год, и копии данных актов предоставляются </w:t>
      </w:r>
      <w:r>
        <w:rPr>
          <w:rFonts w:cs="Times New Roman" w:ascii="Times New Roman" w:hAnsi="Times New Roman"/>
          <w:b/>
          <w:sz w:val="20"/>
          <w:szCs w:val="20"/>
        </w:rPr>
        <w:t>до 5 числа месяца</w:t>
      </w:r>
      <w:r>
        <w:rPr>
          <w:rFonts w:cs="Times New Roman" w:ascii="Times New Roman" w:hAnsi="Times New Roman"/>
          <w:sz w:val="20"/>
          <w:szCs w:val="20"/>
        </w:rPr>
        <w:t>, следующего за отчетным периодом.</w:t>
      </w:r>
    </w:p>
    <w:p>
      <w:pPr>
        <w:pStyle w:val="Normal"/>
        <w:ind w:firstLine="539"/>
        <w:rPr>
          <w:rFonts w:ascii="Times New Roman" w:hAnsi="Times New Roman" w:cs="Times New Roman"/>
          <w:sz w:val="20"/>
          <w:szCs w:val="20"/>
        </w:rPr>
      </w:pPr>
      <w:r>
        <w:rPr>
          <w:rFonts w:cs="Times New Roman" w:ascii="Times New Roman" w:hAnsi="Times New Roman"/>
          <w:sz w:val="20"/>
          <w:szCs w:val="20"/>
        </w:rPr>
        <w:t>При отсутствии за отчетный период принятых муниципальных правовых актов в перечне за соответствующий отчетный период указывается «нормативных правовых актов не принималось».</w:t>
      </w:r>
      <w:r>
        <w:br w:type="page"/>
      </w:r>
    </w:p>
    <w:p>
      <w:pPr>
        <w:pStyle w:val="Normal"/>
        <w:spacing w:before="0" w:after="0"/>
        <w:ind w:firstLine="539"/>
        <w:jc w:val="right"/>
        <w:rPr>
          <w:rFonts w:ascii="Times New Roman" w:hAnsi="Times New Roman" w:cs="Times New Roman"/>
          <w:sz w:val="24"/>
          <w:szCs w:val="24"/>
        </w:rPr>
      </w:pPr>
      <w:r>
        <w:rPr>
          <w:rFonts w:cs="Times New Roman" w:ascii="Times New Roman" w:hAnsi="Times New Roman"/>
          <w:sz w:val="24"/>
          <w:szCs w:val="24"/>
        </w:rPr>
        <w:t>Приложение № 3</w:t>
      </w:r>
    </w:p>
    <w:p>
      <w:pPr>
        <w:pStyle w:val="Normal"/>
        <w:ind w:firstLine="539"/>
        <w:jc w:val="right"/>
        <w:rPr>
          <w:rFonts w:ascii="Times New Roman" w:hAnsi="Times New Roman" w:cs="Times New Roman"/>
          <w:sz w:val="24"/>
          <w:szCs w:val="24"/>
        </w:rPr>
      </w:pPr>
      <w:r>
        <w:rPr>
          <w:rFonts w:cs="Times New Roman" w:ascii="Times New Roman" w:hAnsi="Times New Roman"/>
          <w:sz w:val="24"/>
          <w:szCs w:val="24"/>
        </w:rPr>
        <w:t>к Постановлению</w:t>
      </w:r>
    </w:p>
    <w:p>
      <w:pPr>
        <w:pStyle w:val="Normal"/>
        <w:ind w:firstLine="539"/>
        <w:jc w:val="right"/>
        <w:rPr>
          <w:rFonts w:ascii="Times New Roman" w:hAnsi="Times New Roman" w:cs="Times New Roman"/>
          <w:sz w:val="24"/>
          <w:szCs w:val="24"/>
        </w:rPr>
      </w:pPr>
      <w:r>
        <w:rPr>
          <w:rFonts w:cs="Times New Roman" w:ascii="Times New Roman" w:hAnsi="Times New Roman"/>
          <w:sz w:val="24"/>
          <w:szCs w:val="24"/>
        </w:rPr>
        <w:t>администрации Дудовского сельсовета</w:t>
      </w:r>
    </w:p>
    <w:p>
      <w:pPr>
        <w:pStyle w:val="Normal"/>
        <w:ind w:firstLine="539"/>
        <w:jc w:val="right"/>
        <w:rPr>
          <w:rFonts w:ascii="Times New Roman" w:hAnsi="Times New Roman" w:cs="Times New Roman"/>
          <w:sz w:val="24"/>
          <w:szCs w:val="24"/>
        </w:rPr>
      </w:pPr>
      <w:r>
        <w:rPr>
          <w:rFonts w:cs="Times New Roman" w:ascii="Times New Roman" w:hAnsi="Times New Roman"/>
          <w:sz w:val="24"/>
          <w:szCs w:val="24"/>
        </w:rPr>
        <w:t>от 23  января 2024 г. № 9</w:t>
      </w:r>
    </w:p>
    <w:p>
      <w:pPr>
        <w:pStyle w:val="Normal"/>
        <w:ind w:firstLine="539"/>
        <w:rPr>
          <w:rFonts w:ascii="Times New Roman" w:hAnsi="Times New Roman" w:cs="Times New Roman"/>
          <w:sz w:val="24"/>
          <w:szCs w:val="24"/>
        </w:rPr>
      </w:pPr>
      <w:r>
        <w:rPr>
          <w:rFonts w:cs="Times New Roman" w:ascii="Times New Roman" w:hAnsi="Times New Roman"/>
          <w:sz w:val="24"/>
          <w:szCs w:val="24"/>
        </w:rPr>
      </w:r>
    </w:p>
    <w:p>
      <w:pPr>
        <w:pStyle w:val="Normal"/>
        <w:widowControl/>
        <w:spacing w:lineRule="auto" w:line="276" w:before="120" w:after="0"/>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 xml:space="preserve">Информация о состоянии арендного землепользования </w:t>
      </w:r>
    </w:p>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 xml:space="preserve">на территории _____________________________ </w:t>
      </w:r>
    </w:p>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по состоянию на _________ 20___ г.</w:t>
      </w:r>
    </w:p>
    <w:p>
      <w:pPr>
        <w:pStyle w:val="Normal"/>
        <w:widowControl/>
        <w:spacing w:lineRule="auto" w:line="276"/>
        <w:ind w:hanging="0"/>
        <w:jc w:val="left"/>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bl>
      <w:tblPr>
        <w:tblW w:w="9853" w:type="dxa"/>
        <w:jc w:val="left"/>
        <w:tblInd w:w="113" w:type="dxa"/>
        <w:tblLayout w:type="fixed"/>
        <w:tblCellMar>
          <w:top w:w="0" w:type="dxa"/>
          <w:left w:w="108" w:type="dxa"/>
          <w:bottom w:w="0" w:type="dxa"/>
          <w:right w:w="108" w:type="dxa"/>
        </w:tblCellMar>
        <w:tblLook w:val="00a0"/>
      </w:tblPr>
      <w:tblGrid>
        <w:gridCol w:w="922"/>
        <w:gridCol w:w="130"/>
        <w:gridCol w:w="1022"/>
        <w:gridCol w:w="2005"/>
        <w:gridCol w:w="1380"/>
        <w:gridCol w:w="755"/>
        <w:gridCol w:w="1089"/>
        <w:gridCol w:w="71"/>
        <w:gridCol w:w="679"/>
        <w:gridCol w:w="1798"/>
      </w:tblGrid>
      <w:tr>
        <w:trPr>
          <w:trHeight w:val="728" w:hRule="atLeast"/>
        </w:trPr>
        <w:tc>
          <w:tcPr>
            <w:tcW w:w="2074" w:type="dxa"/>
            <w:gridSpan w:val="3"/>
            <w:tcBorders>
              <w:top w:val="single" w:sz="4" w:space="0" w:color="000000"/>
              <w:left w:val="single" w:sz="4" w:space="0" w:color="000000"/>
              <w:bottom w:val="single" w:sz="4" w:space="0" w:color="000000"/>
              <w:right w:val="single" w:sz="4" w:space="0" w:color="000000"/>
            </w:tcBorders>
            <w:vAlign w:val="center"/>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Заключено договоров</w:t>
            </w:r>
          </w:p>
        </w:tc>
        <w:tc>
          <w:tcPr>
            <w:tcW w:w="2005" w:type="dxa"/>
            <w:vMerge w:val="restart"/>
            <w:tcBorders>
              <w:top w:val="single" w:sz="4" w:space="0" w:color="000000"/>
              <w:left w:val="single" w:sz="4" w:space="0" w:color="000000"/>
              <w:bottom w:val="single" w:sz="4" w:space="0" w:color="000000"/>
              <w:right w:val="single" w:sz="4" w:space="0" w:color="000000"/>
            </w:tcBorders>
            <w:vAlign w:val="center"/>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Площадь земельных участков, предоставленных в аренду, га</w:t>
            </w:r>
          </w:p>
        </w:tc>
        <w:tc>
          <w:tcPr>
            <w:tcW w:w="1380" w:type="dxa"/>
            <w:vMerge w:val="restart"/>
            <w:tcBorders>
              <w:top w:val="single" w:sz="4" w:space="0" w:color="000000"/>
              <w:left w:val="single" w:sz="4" w:space="0" w:color="000000"/>
              <w:bottom w:val="single" w:sz="4" w:space="0" w:color="000000"/>
              <w:right w:val="single" w:sz="4" w:space="0" w:color="000000"/>
            </w:tcBorders>
            <w:vAlign w:val="center"/>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Годовое начисление арендной платы,</w:t>
            </w:r>
          </w:p>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тыс. рублей</w:t>
            </w:r>
          </w:p>
        </w:tc>
        <w:tc>
          <w:tcPr>
            <w:tcW w:w="2594" w:type="dxa"/>
            <w:gridSpan w:val="4"/>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Задолженность,</w:t>
            </w:r>
          </w:p>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тыс. рублей</w:t>
            </w:r>
          </w:p>
        </w:tc>
        <w:tc>
          <w:tcPr>
            <w:tcW w:w="1798" w:type="dxa"/>
            <w:vMerge w:val="restart"/>
            <w:tcBorders>
              <w:top w:val="single" w:sz="4" w:space="0" w:color="000000"/>
              <w:left w:val="single" w:sz="4" w:space="0" w:color="000000"/>
              <w:bottom w:val="single" w:sz="4" w:space="0" w:color="000000"/>
              <w:right w:val="single" w:sz="4" w:space="0" w:color="000000"/>
            </w:tcBorders>
            <w:vAlign w:val="center"/>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В том числе задолженность, невозможная к взысканию, тыс. рублей</w:t>
            </w:r>
          </w:p>
        </w:tc>
      </w:tr>
      <w:tr>
        <w:trPr>
          <w:trHeight w:val="199" w:hRule="atLeast"/>
        </w:trPr>
        <w:tc>
          <w:tcPr>
            <w:tcW w:w="922" w:type="dxa"/>
            <w:vMerge w:val="restart"/>
            <w:tcBorders>
              <w:top w:val="single" w:sz="4" w:space="0" w:color="000000"/>
              <w:left w:val="single" w:sz="4" w:space="0" w:color="000000"/>
              <w:bottom w:val="single" w:sz="4" w:space="0" w:color="000000"/>
              <w:right w:val="single" w:sz="4" w:space="0" w:color="000000"/>
            </w:tcBorders>
            <w:vAlign w:val="center"/>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Всего*</w:t>
            </w:r>
          </w:p>
        </w:tc>
        <w:tc>
          <w:tcPr>
            <w:tcW w:w="1152" w:type="dxa"/>
            <w:gridSpan w:val="2"/>
            <w:vMerge w:val="restart"/>
            <w:tcBorders>
              <w:top w:val="single" w:sz="4" w:space="0" w:color="000000"/>
              <w:left w:val="single" w:sz="4" w:space="0" w:color="000000"/>
              <w:bottom w:val="single" w:sz="4" w:space="0" w:color="000000"/>
              <w:right w:val="single" w:sz="4" w:space="0" w:color="000000"/>
            </w:tcBorders>
            <w:vAlign w:val="center"/>
          </w:tcPr>
          <w:p>
            <w:pPr>
              <w:pStyle w:val="Normal"/>
              <w:widowControl/>
              <w:spacing w:lineRule="auto" w:line="276"/>
              <w:ind w:hanging="0"/>
              <w:jc w:val="center"/>
              <w:rPr>
                <w:rFonts w:ascii="Times New Roman" w:hAnsi="Times New Roman" w:eastAsia="Times New Roman" w:cs="Times New Roman"/>
                <w:i/>
                <w:i/>
                <w:kern w:val="2"/>
                <w:sz w:val="24"/>
                <w:szCs w:val="24"/>
                <w:lang w:eastAsia="ru-RU"/>
              </w:rPr>
            </w:pPr>
            <w:r>
              <w:rPr>
                <w:rFonts w:eastAsia="Times New Roman" w:cs="Times New Roman" w:ascii="Times New Roman" w:hAnsi="Times New Roman"/>
                <w:i/>
                <w:kern w:val="2"/>
                <w:sz w:val="24"/>
                <w:szCs w:val="24"/>
                <w:lang w:eastAsia="ru-RU"/>
              </w:rPr>
              <w:t>из них в текущем году**</w:t>
            </w:r>
          </w:p>
        </w:tc>
        <w:tc>
          <w:tcPr>
            <w:tcW w:w="2005"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380"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755" w:type="dxa"/>
            <w:vMerge w:val="restart"/>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всего</w:t>
            </w:r>
          </w:p>
        </w:tc>
        <w:tc>
          <w:tcPr>
            <w:tcW w:w="1839" w:type="dxa"/>
            <w:gridSpan w:val="3"/>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spacing w:lineRule="auto" w:line="276"/>
              <w:ind w:hanging="0"/>
              <w:jc w:val="center"/>
              <w:rPr>
                <w:rFonts w:ascii="Times New Roman" w:hAnsi="Times New Roman" w:eastAsia="Times New Roman" w:cs="Times New Roman"/>
                <w:i/>
                <w:i/>
                <w:kern w:val="2"/>
                <w:sz w:val="24"/>
                <w:szCs w:val="24"/>
                <w:lang w:eastAsia="ru-RU"/>
              </w:rPr>
            </w:pPr>
            <w:r>
              <w:rPr>
                <w:rFonts w:eastAsia="Times New Roman" w:cs="Times New Roman" w:ascii="Times New Roman" w:hAnsi="Times New Roman"/>
                <w:i/>
                <w:kern w:val="2"/>
                <w:sz w:val="24"/>
                <w:szCs w:val="24"/>
                <w:lang w:eastAsia="ru-RU"/>
              </w:rPr>
              <w:t>в том числе по:</w:t>
            </w:r>
          </w:p>
        </w:tc>
        <w:tc>
          <w:tcPr>
            <w:tcW w:w="1798"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r>
      <w:tr>
        <w:trPr>
          <w:trHeight w:val="360" w:hRule="atLeast"/>
        </w:trPr>
        <w:tc>
          <w:tcPr>
            <w:tcW w:w="922" w:type="dxa"/>
            <w:vMerge w:val="continue"/>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152" w:type="dxa"/>
            <w:gridSpan w:val="2"/>
            <w:vMerge w:val="continue"/>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i/>
                <w:i/>
                <w:kern w:val="2"/>
                <w:sz w:val="24"/>
                <w:szCs w:val="24"/>
                <w:lang w:eastAsia="ru-RU"/>
              </w:rPr>
            </w:pPr>
            <w:r>
              <w:rPr>
                <w:rFonts w:eastAsia="Times New Roman" w:cs="Times New Roman" w:ascii="Times New Roman" w:hAnsi="Times New Roman"/>
                <w:i/>
                <w:kern w:val="2"/>
                <w:sz w:val="24"/>
                <w:szCs w:val="24"/>
                <w:lang w:eastAsia="ru-RU"/>
              </w:rPr>
            </w:r>
          </w:p>
        </w:tc>
        <w:tc>
          <w:tcPr>
            <w:tcW w:w="2005" w:type="dxa"/>
            <w:vMerge w:val="continue"/>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380" w:type="dxa"/>
            <w:vMerge w:val="continue"/>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755" w:type="dxa"/>
            <w:vMerge w:val="continue"/>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160" w:type="dxa"/>
            <w:gridSpan w:val="2"/>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spacing w:lineRule="auto" w:line="276"/>
              <w:ind w:hanging="0"/>
              <w:jc w:val="center"/>
              <w:rPr>
                <w:rFonts w:ascii="Times New Roman" w:hAnsi="Times New Roman" w:eastAsia="Times New Roman" w:cs="Times New Roman"/>
                <w:i/>
                <w:i/>
                <w:kern w:val="2"/>
                <w:sz w:val="24"/>
                <w:szCs w:val="24"/>
                <w:lang w:eastAsia="ru-RU"/>
              </w:rPr>
            </w:pPr>
            <w:r>
              <w:rPr>
                <w:rFonts w:eastAsia="Times New Roman" w:cs="Times New Roman" w:ascii="Times New Roman" w:hAnsi="Times New Roman"/>
                <w:i/>
                <w:kern w:val="2"/>
                <w:sz w:val="24"/>
                <w:szCs w:val="24"/>
                <w:lang w:eastAsia="ru-RU"/>
              </w:rPr>
              <w:t>арендной плате</w:t>
            </w:r>
          </w:p>
        </w:tc>
        <w:tc>
          <w:tcPr>
            <w:tcW w:w="67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spacing w:lineRule="auto" w:line="276"/>
              <w:ind w:hanging="0"/>
              <w:jc w:val="center"/>
              <w:rPr>
                <w:rFonts w:ascii="Times New Roman" w:hAnsi="Times New Roman" w:eastAsia="Times New Roman" w:cs="Times New Roman"/>
                <w:i/>
                <w:i/>
                <w:kern w:val="2"/>
                <w:sz w:val="24"/>
                <w:szCs w:val="24"/>
                <w:lang w:eastAsia="ru-RU"/>
              </w:rPr>
            </w:pPr>
            <w:r>
              <w:rPr>
                <w:rFonts w:eastAsia="Times New Roman" w:cs="Times New Roman" w:ascii="Times New Roman" w:hAnsi="Times New Roman"/>
                <w:i/>
                <w:kern w:val="2"/>
                <w:sz w:val="24"/>
                <w:szCs w:val="24"/>
                <w:lang w:eastAsia="ru-RU"/>
              </w:rPr>
              <w:t>пени</w:t>
            </w:r>
          </w:p>
        </w:tc>
        <w:tc>
          <w:tcPr>
            <w:tcW w:w="1798" w:type="dxa"/>
            <w:vMerge w:val="continue"/>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r>
      <w:tr>
        <w:trPr/>
        <w:tc>
          <w:tcPr>
            <w:tcW w:w="922"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kern w:val="2"/>
                <w:sz w:val="20"/>
                <w:szCs w:val="20"/>
                <w:lang w:eastAsia="ru-RU"/>
              </w:rPr>
            </w:pPr>
            <w:r>
              <w:rPr>
                <w:rFonts w:eastAsia="Times New Roman" w:cs="Times New Roman" w:ascii="Times New Roman" w:hAnsi="Times New Roman"/>
                <w:kern w:val="2"/>
                <w:sz w:val="20"/>
                <w:szCs w:val="20"/>
                <w:lang w:eastAsia="ru-RU"/>
              </w:rPr>
              <w:t>1</w:t>
            </w:r>
          </w:p>
        </w:tc>
        <w:tc>
          <w:tcPr>
            <w:tcW w:w="1152" w:type="dxa"/>
            <w:gridSpan w:val="2"/>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i/>
                <w:i/>
                <w:kern w:val="2"/>
                <w:sz w:val="20"/>
                <w:szCs w:val="20"/>
                <w:lang w:eastAsia="ru-RU"/>
              </w:rPr>
            </w:pPr>
            <w:r>
              <w:rPr>
                <w:rFonts w:eastAsia="Times New Roman" w:cs="Times New Roman" w:ascii="Times New Roman" w:hAnsi="Times New Roman"/>
                <w:i/>
                <w:kern w:val="2"/>
                <w:sz w:val="20"/>
                <w:szCs w:val="20"/>
                <w:lang w:eastAsia="ru-RU"/>
              </w:rPr>
              <w:t>1а</w:t>
            </w:r>
          </w:p>
        </w:tc>
        <w:tc>
          <w:tcPr>
            <w:tcW w:w="2005"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kern w:val="2"/>
                <w:sz w:val="20"/>
                <w:szCs w:val="20"/>
                <w:lang w:eastAsia="ru-RU"/>
              </w:rPr>
            </w:pPr>
            <w:r>
              <w:rPr>
                <w:rFonts w:eastAsia="Times New Roman" w:cs="Times New Roman" w:ascii="Times New Roman" w:hAnsi="Times New Roman"/>
                <w:kern w:val="2"/>
                <w:sz w:val="20"/>
                <w:szCs w:val="20"/>
                <w:lang w:eastAsia="ru-RU"/>
              </w:rPr>
              <w:t>2</w:t>
            </w:r>
          </w:p>
        </w:tc>
        <w:tc>
          <w:tcPr>
            <w:tcW w:w="1380"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kern w:val="2"/>
                <w:sz w:val="20"/>
                <w:szCs w:val="20"/>
                <w:lang w:eastAsia="ru-RU"/>
              </w:rPr>
            </w:pPr>
            <w:r>
              <w:rPr>
                <w:rFonts w:eastAsia="Times New Roman" w:cs="Times New Roman" w:ascii="Times New Roman" w:hAnsi="Times New Roman"/>
                <w:kern w:val="2"/>
                <w:sz w:val="20"/>
                <w:szCs w:val="20"/>
                <w:lang w:eastAsia="ru-RU"/>
              </w:rPr>
              <w:t>3</w:t>
            </w:r>
          </w:p>
        </w:tc>
        <w:tc>
          <w:tcPr>
            <w:tcW w:w="755"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kern w:val="2"/>
                <w:sz w:val="20"/>
                <w:szCs w:val="20"/>
                <w:lang w:eastAsia="ru-RU"/>
              </w:rPr>
            </w:pPr>
            <w:r>
              <w:rPr>
                <w:rFonts w:eastAsia="Times New Roman" w:cs="Times New Roman" w:ascii="Times New Roman" w:hAnsi="Times New Roman"/>
                <w:kern w:val="2"/>
                <w:sz w:val="20"/>
                <w:szCs w:val="20"/>
                <w:lang w:eastAsia="ru-RU"/>
              </w:rPr>
              <w:t>4</w:t>
            </w:r>
          </w:p>
        </w:tc>
        <w:tc>
          <w:tcPr>
            <w:tcW w:w="1160" w:type="dxa"/>
            <w:gridSpan w:val="2"/>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i/>
                <w:i/>
                <w:kern w:val="2"/>
                <w:sz w:val="20"/>
                <w:szCs w:val="20"/>
                <w:lang w:eastAsia="ru-RU"/>
              </w:rPr>
            </w:pPr>
            <w:r>
              <w:rPr>
                <w:rFonts w:eastAsia="Times New Roman" w:cs="Times New Roman" w:ascii="Times New Roman" w:hAnsi="Times New Roman"/>
                <w:i/>
                <w:kern w:val="2"/>
                <w:sz w:val="20"/>
                <w:szCs w:val="20"/>
                <w:lang w:eastAsia="ru-RU"/>
              </w:rPr>
              <w:t>4а</w:t>
            </w:r>
          </w:p>
        </w:tc>
        <w:tc>
          <w:tcPr>
            <w:tcW w:w="679"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kern w:val="2"/>
                <w:sz w:val="20"/>
                <w:szCs w:val="20"/>
                <w:lang w:eastAsia="ru-RU"/>
              </w:rPr>
            </w:pPr>
            <w:r>
              <w:rPr>
                <w:rFonts w:eastAsia="Times New Roman" w:cs="Times New Roman" w:ascii="Times New Roman" w:hAnsi="Times New Roman"/>
                <w:kern w:val="2"/>
                <w:sz w:val="20"/>
                <w:szCs w:val="20"/>
                <w:lang w:eastAsia="ru-RU"/>
              </w:rPr>
              <w:t>4б</w:t>
            </w:r>
          </w:p>
        </w:tc>
        <w:tc>
          <w:tcPr>
            <w:tcW w:w="1798"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jc w:val="center"/>
              <w:rPr>
                <w:rFonts w:ascii="Times New Roman" w:hAnsi="Times New Roman" w:eastAsia="Times New Roman" w:cs="Times New Roman"/>
                <w:kern w:val="2"/>
                <w:sz w:val="20"/>
                <w:szCs w:val="20"/>
                <w:lang w:eastAsia="ru-RU"/>
              </w:rPr>
            </w:pPr>
            <w:r>
              <w:rPr>
                <w:rFonts w:eastAsia="Times New Roman" w:cs="Times New Roman" w:ascii="Times New Roman" w:hAnsi="Times New Roman"/>
                <w:kern w:val="2"/>
                <w:sz w:val="20"/>
                <w:szCs w:val="20"/>
                <w:lang w:eastAsia="ru-RU"/>
              </w:rPr>
              <w:t>5</w:t>
            </w:r>
          </w:p>
        </w:tc>
      </w:tr>
      <w:tr>
        <w:trPr/>
        <w:tc>
          <w:tcPr>
            <w:tcW w:w="9851" w:type="dxa"/>
            <w:gridSpan w:val="10"/>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КБК ХХХ 1 11 05013 10 0000 120 «Доходы,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а также средства от продажи права на заключение договоров аренды указанных земельных участков»</w:t>
            </w:r>
          </w:p>
        </w:tc>
      </w:tr>
      <w:tr>
        <w:trPr/>
        <w:tc>
          <w:tcPr>
            <w:tcW w:w="1052" w:type="dxa"/>
            <w:gridSpan w:val="2"/>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022"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2005"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380"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755"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089"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750" w:type="dxa"/>
            <w:gridSpan w:val="2"/>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798"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r>
      <w:tr>
        <w:trPr/>
        <w:tc>
          <w:tcPr>
            <w:tcW w:w="9851" w:type="dxa"/>
            <w:gridSpan w:val="10"/>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t>КБК ХХХ 1 11 05025 10 0000 120 «Доходы,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r>
      <w:tr>
        <w:trPr/>
        <w:tc>
          <w:tcPr>
            <w:tcW w:w="1052" w:type="dxa"/>
            <w:gridSpan w:val="2"/>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022"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2005"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380"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755"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089"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750" w:type="dxa"/>
            <w:gridSpan w:val="2"/>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c>
          <w:tcPr>
            <w:tcW w:w="1798" w:type="dxa"/>
            <w:tcBorders>
              <w:top w:val="single" w:sz="4" w:space="0" w:color="000000"/>
              <w:left w:val="single" w:sz="4" w:space="0" w:color="000000"/>
              <w:bottom w:val="single" w:sz="4" w:space="0" w:color="000000"/>
              <w:right w:val="single" w:sz="4" w:space="0" w:color="000000"/>
            </w:tcBorders>
          </w:tcPr>
          <w:p>
            <w:pPr>
              <w:pStyle w:val="Normal"/>
              <w:widowControl/>
              <w:spacing w:lineRule="auto" w:line="276"/>
              <w:ind w:hanging="0"/>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tc>
      </w:tr>
    </w:tbl>
    <w:p>
      <w:pPr>
        <w:pStyle w:val="Normal"/>
        <w:widowControl/>
        <w:ind w:hanging="0"/>
        <w:jc w:val="left"/>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указывается количество договоров аренды, действующих по состоянию на отчетную дату</w:t>
      </w:r>
    </w:p>
    <w:p>
      <w:pPr>
        <w:pStyle w:val="Normal"/>
        <w:widowControl/>
        <w:ind w:hanging="0"/>
        <w:jc w:val="left"/>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указывается количество договоров аренды, заключенных в текущем финансовом году и действующих по состоянию на отчетную дату</w:t>
      </w:r>
    </w:p>
    <w:p>
      <w:pPr>
        <w:pStyle w:val="Normal"/>
        <w:widowControl/>
        <w:spacing w:lineRule="auto" w:line="276"/>
        <w:ind w:hanging="0"/>
        <w:jc w:val="left"/>
        <w:rPr>
          <w:rFonts w:ascii="Times New Roman" w:hAnsi="Times New Roman" w:eastAsia="Times New Roman" w:cs="Times New Roman"/>
          <w:kern w:val="2"/>
          <w:sz w:val="24"/>
          <w:szCs w:val="24"/>
          <w:lang w:eastAsia="ru-RU"/>
        </w:rPr>
      </w:pPr>
      <w:r>
        <w:rPr>
          <w:rFonts w:eastAsia="Times New Roman" w:cs="Times New Roman" w:ascii="Times New Roman" w:hAnsi="Times New Roman"/>
          <w:kern w:val="2"/>
          <w:sz w:val="24"/>
          <w:szCs w:val="24"/>
          <w:lang w:eastAsia="ru-RU"/>
        </w:rPr>
      </w:r>
    </w:p>
    <w:p>
      <w:pPr>
        <w:pStyle w:val="Normal"/>
        <w:widowControl/>
        <w:ind w:hanging="0"/>
        <w:jc w:val="left"/>
        <w:rPr>
          <w:rFonts w:ascii="Times New Roman" w:hAnsi="Times New Roman" w:eastAsia="Times New Roman" w:cs="Times New Roman"/>
          <w:sz w:val="24"/>
          <w:szCs w:val="20"/>
          <w:lang w:eastAsia="ru-RU"/>
        </w:rPr>
      </w:pPr>
      <w:r>
        <w:rPr>
          <w:rFonts w:eastAsia="Times New Roman" w:cs="Times New Roman" w:ascii="Times New Roman" w:hAnsi="Times New Roman"/>
          <w:sz w:val="24"/>
          <w:szCs w:val="20"/>
          <w:lang w:eastAsia="ru-RU"/>
        </w:rPr>
        <w:t>Глава Дудовского сельсовета                          ____________    ____________________________</w:t>
      </w:r>
    </w:p>
    <w:p>
      <w:pPr>
        <w:pStyle w:val="Normal"/>
        <w:widowControl/>
        <w:ind w:hanging="0"/>
        <w:jc w:val="left"/>
        <w:rPr>
          <w:rFonts w:ascii="Times New Roman" w:hAnsi="Times New Roman" w:eastAsia="Times New Roman" w:cs="Times New Roman"/>
          <w:sz w:val="24"/>
          <w:szCs w:val="20"/>
          <w:lang w:eastAsia="ru-RU"/>
        </w:rPr>
      </w:pPr>
      <w:r>
        <w:rPr>
          <w:rFonts w:eastAsia="Times New Roman" w:cs="Times New Roman" w:ascii="Times New Roman" w:hAnsi="Times New Roman"/>
          <w:sz w:val="24"/>
          <w:szCs w:val="20"/>
          <w:lang w:eastAsia="ru-RU"/>
        </w:rPr>
        <w:t xml:space="preserve">                                                                           </w:t>
      </w:r>
      <w:r>
        <w:rPr>
          <w:rFonts w:eastAsia="Times New Roman" w:cs="Times New Roman" w:ascii="Times New Roman" w:hAnsi="Times New Roman"/>
          <w:sz w:val="24"/>
          <w:szCs w:val="20"/>
          <w:lang w:eastAsia="ru-RU"/>
        </w:rPr>
        <w:t>(подпись)                             (Ф.И.О.)</w:t>
        <w:tab/>
      </w:r>
    </w:p>
    <w:p>
      <w:pPr>
        <w:pStyle w:val="Normal"/>
        <w:widowControl/>
        <w:ind w:hanging="0"/>
        <w:jc w:val="left"/>
        <w:rPr>
          <w:rFonts w:ascii="Times New Roman" w:hAnsi="Times New Roman" w:eastAsia="Times New Roman" w:cs="Times New Roman"/>
          <w:sz w:val="24"/>
          <w:szCs w:val="20"/>
          <w:lang w:eastAsia="ru-RU"/>
        </w:rPr>
      </w:pPr>
      <w:r>
        <w:rPr>
          <w:rFonts w:eastAsia="Times New Roman" w:cs="Times New Roman" w:ascii="Times New Roman" w:hAnsi="Times New Roman"/>
          <w:sz w:val="24"/>
          <w:szCs w:val="20"/>
          <w:lang w:eastAsia="ru-RU"/>
        </w:rPr>
        <w:tab/>
        <w:t xml:space="preserve">                </w:t>
      </w:r>
    </w:p>
    <w:p>
      <w:pPr>
        <w:pStyle w:val="Normal"/>
        <w:widowControl/>
        <w:ind w:hanging="0"/>
        <w:jc w:val="left"/>
        <w:rPr>
          <w:rFonts w:ascii="Times New Roman" w:hAnsi="Times New Roman" w:eastAsia="Times New Roman" w:cs="Times New Roman"/>
          <w:sz w:val="24"/>
          <w:szCs w:val="20"/>
          <w:lang w:eastAsia="ru-RU"/>
        </w:rPr>
      </w:pPr>
      <w:r>
        <w:rPr>
          <w:rFonts w:eastAsia="Times New Roman" w:cs="Times New Roman" w:ascii="Times New Roman" w:hAnsi="Times New Roman"/>
          <w:sz w:val="24"/>
          <w:szCs w:val="20"/>
          <w:lang w:eastAsia="ru-RU"/>
        </w:rPr>
        <w:t>Исполнитель, тел.</w:t>
      </w:r>
    </w:p>
    <w:p>
      <w:pPr>
        <w:pStyle w:val="Normal"/>
        <w:ind w:firstLine="539"/>
        <w:rPr>
          <w:rFonts w:ascii="Times New Roman" w:hAnsi="Times New Roman" w:cs="Times New Roman"/>
          <w:sz w:val="24"/>
          <w:szCs w:val="24"/>
        </w:rPr>
      </w:pPr>
      <w:r>
        <w:rPr>
          <w:rFonts w:cs="Times New Roman" w:ascii="Times New Roman" w:hAnsi="Times New Roman"/>
          <w:sz w:val="24"/>
          <w:szCs w:val="24"/>
        </w:rPr>
      </w:r>
    </w:p>
    <w:sectPr>
      <w:type w:val="nextPage"/>
      <w:pgSz w:w="11906" w:h="16838"/>
      <w:pgMar w:left="1701" w:right="567" w:gutter="0" w:header="0" w:top="567" w:footer="0" w:bottom="567"/>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Segoe UI">
    <w:charset w:val="cc"/>
    <w:family w:val="roman"/>
    <w:pitch w:val="variable"/>
  </w:font>
  <w:font w:name="Liberation Sans">
    <w:altName w:val="Arial"/>
    <w:charset w:val="cc"/>
    <w:family w:val="roman"/>
    <w:pitch w:val="variable"/>
  </w:font>
  <w:font w:name="Courier New">
    <w:charset w:val="cc"/>
    <w:family w:val="roman"/>
    <w:pitch w:val="variable"/>
  </w:font>
  <w:font w:name="Times New Roman">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927" w:hanging="360"/>
      </w:pPr>
      <w:rPr/>
    </w:lvl>
    <w:lvl w:ilvl="1">
      <w:start w:val="1"/>
      <w:numFmt w:val="lowerLetter"/>
      <w:lvlText w:val="%2."/>
      <w:lvlJc w:val="left"/>
      <w:pPr>
        <w:tabs>
          <w:tab w:val="num" w:pos="0"/>
        </w:tabs>
        <w:ind w:left="1080" w:hanging="360"/>
      </w:pPr>
      <w:rPr/>
    </w:lvl>
    <w:lvl w:ilvl="2">
      <w:start w:val="1"/>
      <w:numFmt w:val="lowerRoman"/>
      <w:lvlText w:val="%3."/>
      <w:lvlJc w:val="right"/>
      <w:pPr>
        <w:tabs>
          <w:tab w:val="num" w:pos="0"/>
        </w:tabs>
        <w:ind w:left="1800" w:hanging="180"/>
      </w:pPr>
      <w:rPr/>
    </w:lvl>
    <w:lvl w:ilvl="3">
      <w:start w:val="1"/>
      <w:numFmt w:val="decimal"/>
      <w:lvlText w:val="%4."/>
      <w:lvlJc w:val="left"/>
      <w:pPr>
        <w:tabs>
          <w:tab w:val="num" w:pos="0"/>
        </w:tabs>
        <w:ind w:left="2520" w:hanging="360"/>
      </w:pPr>
      <w:rPr/>
    </w:lvl>
    <w:lvl w:ilvl="4">
      <w:start w:val="1"/>
      <w:numFmt w:val="lowerLetter"/>
      <w:lvlText w:val="%5."/>
      <w:lvlJc w:val="left"/>
      <w:pPr>
        <w:tabs>
          <w:tab w:val="num" w:pos="0"/>
        </w:tabs>
        <w:ind w:left="3240" w:hanging="360"/>
      </w:pPr>
      <w:rPr/>
    </w:lvl>
    <w:lvl w:ilvl="5">
      <w:start w:val="1"/>
      <w:numFmt w:val="lowerRoman"/>
      <w:lvlText w:val="%6."/>
      <w:lvlJc w:val="right"/>
      <w:pPr>
        <w:tabs>
          <w:tab w:val="num" w:pos="0"/>
        </w:tabs>
        <w:ind w:left="3960" w:hanging="180"/>
      </w:pPr>
      <w:rPr/>
    </w:lvl>
    <w:lvl w:ilvl="6">
      <w:start w:val="1"/>
      <w:numFmt w:val="decimal"/>
      <w:lvlText w:val="%7."/>
      <w:lvlJc w:val="left"/>
      <w:pPr>
        <w:tabs>
          <w:tab w:val="num" w:pos="0"/>
        </w:tabs>
        <w:ind w:left="4680" w:hanging="360"/>
      </w:pPr>
      <w:rPr/>
    </w:lvl>
    <w:lvl w:ilvl="7">
      <w:start w:val="1"/>
      <w:numFmt w:val="lowerLetter"/>
      <w:lvlText w:val="%8."/>
      <w:lvlJc w:val="left"/>
      <w:pPr>
        <w:tabs>
          <w:tab w:val="num" w:pos="0"/>
        </w:tabs>
        <w:ind w:left="5400" w:hanging="360"/>
      </w:pPr>
      <w:rPr/>
    </w:lvl>
    <w:lvl w:ilvl="8">
      <w:start w:val="1"/>
      <w:numFmt w:val="lowerRoman"/>
      <w:lvlText w:val="%9."/>
      <w:lvlJc w:val="right"/>
      <w:pPr>
        <w:tabs>
          <w:tab w:val="num" w:pos="0"/>
        </w:tabs>
        <w:ind w:left="6120" w:hanging="180"/>
      </w:pPr>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20"/>
  <w:defaultTabStop w:val="708"/>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3b76a8"/>
    <w:pPr>
      <w:widowControl w:val="false"/>
      <w:suppressAutoHyphens w:val="true"/>
      <w:bidi w:val="0"/>
      <w:spacing w:lineRule="auto" w:line="240" w:before="0" w:after="0"/>
      <w:ind w:firstLine="540"/>
      <w:jc w:val="both"/>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Hyperlink">
    <w:name w:val="Hyperlink"/>
    <w:basedOn w:val="DefaultParagraphFont"/>
    <w:uiPriority w:val="99"/>
    <w:unhideWhenUsed/>
    <w:rsid w:val="000b5270"/>
    <w:rPr>
      <w:color w:themeColor="hyperlink" w:val="0000FF"/>
      <w:u w:val="single"/>
    </w:rPr>
  </w:style>
  <w:style w:type="character" w:styleId="Style14" w:customStyle="1">
    <w:name w:val="Текст выноски Знак"/>
    <w:basedOn w:val="DefaultParagraphFont"/>
    <w:link w:val="BalloonText"/>
    <w:uiPriority w:val="99"/>
    <w:semiHidden/>
    <w:qFormat/>
    <w:rsid w:val="00c000b8"/>
    <w:rPr>
      <w:rFonts w:ascii="Segoe UI" w:hAnsi="Segoe UI" w:cs="Segoe UI"/>
      <w:sz w:val="18"/>
      <w:szCs w:val="18"/>
    </w:rPr>
  </w:style>
  <w:style w:type="paragraph" w:styleId="Style15">
    <w:name w:val="Заголовок"/>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Style16">
    <w:name w:val="Указатель"/>
    <w:basedOn w:val="Normal"/>
    <w:qFormat/>
    <w:pPr>
      <w:suppressLineNumbers/>
    </w:pPr>
    <w:rPr>
      <w:rFonts w:cs="Arial"/>
    </w:rPr>
  </w:style>
  <w:style w:type="paragraph" w:styleId="ConsPlusNonformat" w:customStyle="1">
    <w:name w:val="ConsPlusNonformat"/>
    <w:uiPriority w:val="99"/>
    <w:qFormat/>
    <w:rsid w:val="00b75b5c"/>
    <w:pPr>
      <w:widowControl w:val="false"/>
      <w:suppressAutoHyphens w:val="true"/>
      <w:bidi w:val="0"/>
      <w:spacing w:lineRule="auto" w:line="240" w:before="0" w:after="0"/>
      <w:jc w:val="left"/>
    </w:pPr>
    <w:rPr>
      <w:rFonts w:ascii="Courier New" w:hAnsi="Courier New" w:eastAsia="" w:cs="Courier New" w:eastAsiaTheme="minorEastAsia"/>
      <w:color w:val="auto"/>
      <w:kern w:val="0"/>
      <w:sz w:val="20"/>
      <w:szCs w:val="20"/>
      <w:lang w:val="ru-RU" w:eastAsia="ru-RU" w:bidi="ar-SA"/>
    </w:rPr>
  </w:style>
  <w:style w:type="paragraph" w:styleId="ListParagraph">
    <w:name w:val="List Paragraph"/>
    <w:basedOn w:val="Normal"/>
    <w:uiPriority w:val="34"/>
    <w:qFormat/>
    <w:rsid w:val="003549d8"/>
    <w:pPr>
      <w:spacing w:before="0" w:after="0"/>
      <w:ind w:left="720"/>
      <w:contextualSpacing/>
    </w:pPr>
    <w:rPr/>
  </w:style>
  <w:style w:type="paragraph" w:styleId="BalloonText">
    <w:name w:val="Balloon Text"/>
    <w:basedOn w:val="Normal"/>
    <w:link w:val="Style14"/>
    <w:uiPriority w:val="99"/>
    <w:semiHidden/>
    <w:unhideWhenUsed/>
    <w:qFormat/>
    <w:rsid w:val="00c000b8"/>
    <w:pPr/>
    <w:rPr>
      <w:rFonts w:ascii="Segoe UI" w:hAnsi="Segoe UI" w:cs="Segoe UI"/>
      <w:sz w:val="18"/>
      <w:szCs w:val="18"/>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 w:type="table" w:styleId="a4">
    <w:name w:val="Table Grid"/>
    <w:basedOn w:val="a1"/>
    <w:rsid w:val="00860bc5"/>
    <w:pPr>
      <w:spacing w:after="0" w:line="240" w:lineRule="auto"/>
      <w:jc w:val="both"/>
    </w:pPr>
    <w:rPr>
      <w:lang w:eastAsia="ru-RU"/>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dudovskij-r04.gosweb.gosuslugi.ru/"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itchFamily="0" charset="1"/>
        <a:ea typeface=""/>
        <a:cs typeface=""/>
      </a:majorFont>
      <a:minorFont>
        <a:latin typeface="Calibri"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3E96DF-EC2E-4BF5-839A-8FB3289B8E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Application>LibreOffice/7.6.4.1$Windows_X86_64 LibreOffice_project/e19e193f88cd6c0525a17fb7a176ed8e6a3e2aa1</Application>
  <AppVersion>15.0000</AppVersion>
  <Pages>7</Pages>
  <Words>1898</Words>
  <Characters>13749</Characters>
  <CharactersWithSpaces>15932</CharactersWithSpaces>
  <Paragraphs>140</Paragraphs>
  <Company>Krokoz™</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2024-01-25T02:19:00Z</dcterms:created>
  <dc:creator>Светлана Александровна</dc:creator>
  <dc:description/>
  <dc:language>ru-RU</dc:language>
  <cp:lastModifiedBy/>
  <cp:lastPrinted>2024-02-13T11:32:52Z</cp:lastPrinted>
  <dcterms:modified xsi:type="dcterms:W3CDTF">2024-03-27T10:35:31Z</dcterms:modified>
  <cp:revision>17</cp:revision>
  <dc:subject/>
  <dc:title/>
</cp:coreProperties>
</file>

<file path=docProps/custom.xml><?xml version="1.0" encoding="utf-8"?>
<Properties xmlns="http://schemas.openxmlformats.org/officeDocument/2006/custom-properties" xmlns:vt="http://schemas.openxmlformats.org/officeDocument/2006/docPropsVTypes"/>
</file>